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w:t>
      </w:r>
    </w:p>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南京邮电大学通达学院电工实训实验室基础电工实验系统及相关配套设备采购项目</w:t>
      </w: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ind w:firstLine="0"/>
        <w:jc w:val="center"/>
        <w:rPr>
          <w:rFonts w:ascii="宋体" w:hAnsi="宋体" w:cs="宋体"/>
          <w:b/>
          <w:bCs/>
          <w:sz w:val="84"/>
        </w:rPr>
      </w:pPr>
    </w:p>
    <w:p>
      <w:pPr>
        <w:pStyle w:val="13"/>
        <w:ind w:firstLine="0"/>
        <w:jc w:val="center"/>
        <w:rPr>
          <w:rFonts w:ascii="宋体" w:hAnsi="宋体" w:cs="宋体"/>
          <w:b/>
          <w:bCs/>
          <w:sz w:val="84"/>
        </w:rPr>
      </w:pPr>
    </w:p>
    <w:p>
      <w:pPr>
        <w:pStyle w:val="13"/>
        <w:ind w:firstLine="0"/>
        <w:jc w:val="center"/>
        <w:rPr>
          <w:rFonts w:ascii="宋体" w:hAnsi="宋体" w:cs="宋体"/>
          <w:b/>
          <w:bCs/>
          <w:sz w:val="72"/>
          <w:szCs w:val="72"/>
        </w:rPr>
      </w:pPr>
      <w:r>
        <w:rPr>
          <w:rFonts w:ascii="宋体" w:hAnsi="宋体" w:cs="宋体"/>
          <w:b/>
          <w:bCs/>
          <w:sz w:val="72"/>
          <w:szCs w:val="72"/>
        </w:rPr>
        <w:t>单一来源谈判文件</w:t>
      </w:r>
    </w:p>
    <w:p>
      <w:pPr>
        <w:adjustRightInd w:val="0"/>
        <w:snapToGrid w:val="0"/>
        <w:spacing w:line="300" w:lineRule="auto"/>
        <w:jc w:val="center"/>
        <w:rPr>
          <w:rFonts w:ascii="宋体" w:hAnsi="宋体" w:cs="宋体"/>
          <w:b/>
          <w:sz w:val="36"/>
          <w:szCs w:val="36"/>
        </w:rPr>
      </w:pP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项目编号：TDHQ2019062</w:t>
      </w: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13"/>
        <w:spacing w:before="0" w:after="0"/>
        <w:ind w:firstLine="0"/>
        <w:jc w:val="center"/>
        <w:rPr>
          <w:rFonts w:ascii="宋体" w:hAnsi="宋体" w:cs="宋体"/>
          <w:b/>
          <w:sz w:val="30"/>
          <w:szCs w:val="30"/>
        </w:rPr>
      </w:pPr>
      <w:r>
        <w:rPr>
          <w:rFonts w:hint="eastAsia" w:ascii="宋体" w:hAnsi="宋体" w:cs="宋体"/>
          <w:b/>
          <w:sz w:val="30"/>
          <w:szCs w:val="30"/>
        </w:rPr>
        <w:t>2019年12月</w:t>
      </w:r>
    </w:p>
    <w:p>
      <w:pPr>
        <w:jc w:val="center"/>
        <w:rPr>
          <w:rFonts w:ascii="宋体" w:hAnsi="宋体" w:cs="宋体"/>
        </w:rPr>
      </w:pPr>
      <w:r>
        <w:rPr>
          <w:rFonts w:hint="eastAsia" w:ascii="宋体" w:hAnsi="宋体" w:cs="宋体"/>
        </w:rPr>
        <w:br w:type="page"/>
      </w:r>
      <w:r>
        <w:rPr>
          <w:rFonts w:hint="eastAsia" w:ascii="宋体" w:hAnsi="宋体" w:cs="宋体"/>
          <w:sz w:val="72"/>
          <w:szCs w:val="72"/>
        </w:rPr>
        <w:t>目录</w:t>
      </w:r>
    </w:p>
    <w:p>
      <w:pPr>
        <w:rPr>
          <w:rFonts w:ascii="宋体" w:hAnsi="宋体" w:eastAsia="宋体" w:cs="宋体"/>
          <w:sz w:val="36"/>
          <w:szCs w:val="36"/>
        </w:rPr>
      </w:pPr>
    </w:p>
    <w:p>
      <w:pPr>
        <w:rPr>
          <w:rFonts w:ascii="宋体" w:hAnsi="宋体" w:eastAsia="宋体" w:cs="宋体"/>
          <w:sz w:val="36"/>
          <w:szCs w:val="36"/>
        </w:rPr>
      </w:pPr>
      <w:r>
        <w:rPr>
          <w:rFonts w:hint="eastAsia" w:ascii="宋体" w:hAnsi="宋体" w:eastAsia="宋体" w:cs="宋体"/>
          <w:sz w:val="36"/>
          <w:szCs w:val="36"/>
        </w:rPr>
        <w:t>第一章</w:t>
      </w:r>
      <w:r>
        <w:rPr>
          <w:rFonts w:hint="eastAsia" w:ascii="宋体" w:hAnsi="MS Mincho" w:eastAsia="MS Mincho" w:cs="MS Mincho"/>
          <w:sz w:val="36"/>
          <w:szCs w:val="36"/>
        </w:rPr>
        <w:t>  </w:t>
      </w:r>
      <w:r>
        <w:rPr>
          <w:rFonts w:hint="eastAsia" w:ascii="宋体" w:hAnsi="宋体" w:eastAsia="宋体" w:cs="宋体"/>
          <w:sz w:val="36"/>
          <w:szCs w:val="36"/>
        </w:rPr>
        <w:t>采购邀请函</w:t>
      </w:r>
    </w:p>
    <w:p>
      <w:pPr>
        <w:rPr>
          <w:rFonts w:ascii="宋体" w:hAnsi="宋体" w:eastAsia="宋体" w:cs="MS Mincho"/>
          <w:sz w:val="36"/>
          <w:szCs w:val="36"/>
        </w:rPr>
      </w:pPr>
      <w:r>
        <w:rPr>
          <w:rFonts w:hint="eastAsia" w:ascii="宋体" w:hAnsi="宋体" w:eastAsia="宋体" w:cs="MS Mincho"/>
          <w:sz w:val="36"/>
          <w:szCs w:val="36"/>
        </w:rPr>
        <w:t>第二章</w:t>
      </w:r>
      <w:r>
        <w:rPr>
          <w:rFonts w:hint="eastAsia" w:ascii="宋体" w:hAnsi="MS Mincho" w:eastAsia="MS Mincho" w:cs="MS Mincho"/>
          <w:sz w:val="36"/>
          <w:szCs w:val="36"/>
        </w:rPr>
        <w:t>  </w:t>
      </w:r>
      <w:r>
        <w:rPr>
          <w:rFonts w:hint="eastAsia" w:ascii="宋体" w:hAnsi="宋体" w:eastAsia="宋体" w:cs="宋体"/>
          <w:sz w:val="36"/>
          <w:szCs w:val="36"/>
        </w:rPr>
        <w:t>采购项目内容</w:t>
      </w:r>
      <w:r>
        <w:rPr>
          <w:rFonts w:hint="eastAsia" w:ascii="宋体" w:hAnsi="MS Mincho" w:eastAsia="MS Mincho" w:cs="MS Mincho"/>
          <w:sz w:val="36"/>
          <w:szCs w:val="36"/>
        </w:rPr>
        <w:t> </w:t>
      </w:r>
    </w:p>
    <w:p>
      <w:pPr>
        <w:rPr>
          <w:rFonts w:ascii="宋体" w:hAnsi="宋体" w:eastAsia="宋体" w:cs="MS Mincho"/>
          <w:sz w:val="36"/>
          <w:szCs w:val="36"/>
        </w:rPr>
      </w:pPr>
      <w:r>
        <w:rPr>
          <w:rFonts w:hint="eastAsia" w:ascii="宋体" w:hAnsi="宋体" w:eastAsia="宋体" w:cs="宋体"/>
          <w:sz w:val="36"/>
          <w:szCs w:val="36"/>
        </w:rPr>
        <w:t>第三章</w:t>
      </w:r>
      <w:r>
        <w:rPr>
          <w:rFonts w:hint="eastAsia" w:ascii="宋体" w:hAnsi="MS Mincho" w:eastAsia="MS Mincho" w:cs="MS Mincho"/>
          <w:sz w:val="36"/>
          <w:szCs w:val="36"/>
        </w:rPr>
        <w:t>  </w:t>
      </w:r>
      <w:r>
        <w:rPr>
          <w:rFonts w:hint="eastAsia" w:ascii="宋体" w:hAnsi="宋体" w:eastAsia="宋体" w:cs="宋体"/>
          <w:sz w:val="36"/>
          <w:szCs w:val="36"/>
        </w:rPr>
        <w:t>谈判须知</w:t>
      </w:r>
      <w:r>
        <w:rPr>
          <w:rFonts w:hint="eastAsia" w:ascii="宋体" w:hAnsi="MS Mincho" w:eastAsia="MS Mincho" w:cs="MS Mincho"/>
          <w:sz w:val="36"/>
          <w:szCs w:val="36"/>
        </w:rPr>
        <w:t> </w:t>
      </w:r>
    </w:p>
    <w:p>
      <w:pPr>
        <w:rPr>
          <w:rFonts w:ascii="宋体" w:hAnsi="宋体" w:eastAsia="宋体" w:cs="MS Mincho"/>
          <w:sz w:val="36"/>
          <w:szCs w:val="36"/>
        </w:rPr>
      </w:pPr>
      <w:r>
        <w:rPr>
          <w:rFonts w:hint="eastAsia" w:ascii="宋体" w:hAnsi="宋体" w:eastAsia="宋体" w:cs="宋体"/>
          <w:sz w:val="36"/>
          <w:szCs w:val="36"/>
        </w:rPr>
        <w:t>第四章</w:t>
      </w:r>
      <w:r>
        <w:rPr>
          <w:rFonts w:hint="eastAsia" w:ascii="宋体" w:hAnsi="MS Mincho" w:eastAsia="MS Mincho" w:cs="MS Mincho"/>
          <w:sz w:val="36"/>
          <w:szCs w:val="36"/>
        </w:rPr>
        <w:t>  </w:t>
      </w:r>
      <w:r>
        <w:rPr>
          <w:rFonts w:hint="eastAsia" w:ascii="宋体" w:hAnsi="宋体" w:eastAsia="宋体" w:cs="宋体"/>
          <w:sz w:val="36"/>
          <w:szCs w:val="36"/>
        </w:rPr>
        <w:t>合同书格式</w:t>
      </w:r>
      <w:r>
        <w:rPr>
          <w:rFonts w:hint="eastAsia" w:ascii="宋体" w:hAnsi="MS Mincho" w:eastAsia="MS Mincho" w:cs="MS Mincho"/>
          <w:sz w:val="36"/>
          <w:szCs w:val="36"/>
        </w:rPr>
        <w:t> </w:t>
      </w:r>
    </w:p>
    <w:p>
      <w:pPr>
        <w:rPr>
          <w:rFonts w:ascii="宋体" w:hAnsi="宋体" w:eastAsia="宋体" w:cs="宋体"/>
          <w:sz w:val="36"/>
          <w:szCs w:val="36"/>
        </w:rPr>
      </w:pPr>
      <w:r>
        <w:rPr>
          <w:rFonts w:hint="eastAsia" w:ascii="宋体" w:hAnsi="宋体" w:eastAsia="宋体" w:cs="宋体"/>
          <w:sz w:val="36"/>
          <w:szCs w:val="36"/>
        </w:rPr>
        <w:t>第五章</w:t>
      </w:r>
      <w:r>
        <w:rPr>
          <w:rFonts w:hint="eastAsia" w:ascii="宋体" w:hAnsi="MS Mincho" w:eastAsia="MS Mincho" w:cs="MS Mincho"/>
          <w:sz w:val="36"/>
          <w:szCs w:val="36"/>
        </w:rPr>
        <w:t>  </w:t>
      </w:r>
      <w:r>
        <w:rPr>
          <w:rFonts w:hint="eastAsia" w:ascii="宋体" w:hAnsi="宋体" w:eastAsia="宋体" w:cs="宋体"/>
          <w:sz w:val="36"/>
          <w:szCs w:val="36"/>
        </w:rPr>
        <w:t>响应文件格式</w:t>
      </w: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第一章</w:t>
      </w:r>
      <w:r>
        <w:rPr>
          <w:rFonts w:hint="eastAsia" w:ascii="宋体" w:hAnsi="MS Mincho" w:eastAsia="MS Mincho" w:cs="MS Mincho"/>
          <w:b/>
          <w:sz w:val="36"/>
          <w:szCs w:val="36"/>
        </w:rPr>
        <w:t>  </w:t>
      </w:r>
      <w:r>
        <w:rPr>
          <w:rFonts w:hint="eastAsia" w:ascii="宋体" w:hAnsi="宋体" w:eastAsia="宋体" w:cs="宋体"/>
          <w:b/>
          <w:sz w:val="36"/>
          <w:szCs w:val="36"/>
        </w:rPr>
        <w:t>采购邀请函</w:t>
      </w:r>
    </w:p>
    <w:p>
      <w:pPr>
        <w:rPr>
          <w:rFonts w:ascii="宋体" w:hAnsi="宋体" w:eastAsia="宋体" w:cs="宋体"/>
          <w:sz w:val="36"/>
          <w:szCs w:val="36"/>
        </w:rPr>
      </w:pPr>
    </w:p>
    <w:p>
      <w:pPr>
        <w:rPr>
          <w:rFonts w:ascii="宋体" w:hAnsi="宋体" w:eastAsia="宋体" w:cs="宋体"/>
          <w:sz w:val="28"/>
          <w:szCs w:val="28"/>
        </w:rPr>
      </w:pPr>
      <w:r>
        <w:rPr>
          <w:rFonts w:hint="eastAsia" w:ascii="宋体" w:hAnsi="宋体" w:eastAsia="宋体" w:cs="宋体"/>
          <w:sz w:val="28"/>
          <w:szCs w:val="28"/>
        </w:rPr>
        <w:t>溧阳市华星教学仪器设备厂</w:t>
      </w:r>
      <w:r>
        <w:rPr>
          <w:rFonts w:hint="eastAsia" w:ascii="宋体" w:hAnsi="MS Mincho" w:eastAsia="MS Mincho" w:cs="MS Mincho"/>
          <w:sz w:val="28"/>
          <w:szCs w:val="28"/>
        </w:rPr>
        <w:t> </w:t>
      </w:r>
      <w:r>
        <w:rPr>
          <w:rFonts w:hint="eastAsia" w:ascii="宋体" w:hAnsi="宋体" w:eastAsia="宋体" w:cs="宋体"/>
          <w:sz w:val="28"/>
          <w:szCs w:val="28"/>
        </w:rPr>
        <w:t>：</w:t>
      </w:r>
      <w:r>
        <w:rPr>
          <w:rFonts w:hint="eastAsia" w:ascii="宋体" w:hAnsi="MS Mincho" w:eastAsia="MS Mincho" w:cs="MS Mincho"/>
          <w:sz w:val="28"/>
          <w:szCs w:val="28"/>
        </w:rPr>
        <w:t> </w:t>
      </w:r>
    </w:p>
    <w:p>
      <w:pPr>
        <w:adjustRightInd w:val="0"/>
        <w:snapToGrid w:val="0"/>
        <w:spacing w:line="300" w:lineRule="auto"/>
        <w:jc w:val="left"/>
        <w:rPr>
          <w:rFonts w:ascii="宋体" w:hAnsi="宋体" w:eastAsia="宋体" w:cs="宋体"/>
          <w:sz w:val="28"/>
          <w:szCs w:val="28"/>
        </w:rPr>
      </w:pPr>
      <w:r>
        <w:rPr>
          <w:rFonts w:hint="eastAsia" w:ascii="宋体" w:hAnsi="宋体" w:eastAsia="宋体" w:cs="宋体"/>
          <w:sz w:val="28"/>
          <w:szCs w:val="28"/>
        </w:rPr>
        <w:t>南京邮电大学通达学院对电工实训实验室基础电工实验系统及相关配套设备采购项目进行单一来源采购，拟邀请贵公司作为单一来源商定供应商。</w:t>
      </w:r>
    </w:p>
    <w:p>
      <w:pPr>
        <w:rPr>
          <w:rFonts w:ascii="宋体" w:hAnsi="宋体" w:eastAsia="宋体" w:cs="宋体"/>
          <w:sz w:val="28"/>
          <w:szCs w:val="28"/>
        </w:rPr>
      </w:pPr>
    </w:p>
    <w:p>
      <w:pPr>
        <w:rPr>
          <w:rFonts w:ascii="宋体" w:hAnsi="宋体" w:eastAsia="宋体" w:cs="MS Mincho"/>
          <w:sz w:val="28"/>
          <w:szCs w:val="28"/>
        </w:rPr>
      </w:pPr>
      <w:r>
        <w:rPr>
          <w:rFonts w:hint="eastAsia" w:ascii="宋体" w:hAnsi="宋体" w:eastAsia="宋体" w:cs="宋体"/>
          <w:sz w:val="28"/>
          <w:szCs w:val="28"/>
        </w:rPr>
        <w:t>采购项目编号：TDHQ2019062</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采购项目名称：电工实训实验室基础电工实验系统及相关配套设备采购项目</w:t>
      </w:r>
    </w:p>
    <w:p>
      <w:pPr>
        <w:rPr>
          <w:rFonts w:ascii="宋体" w:hAnsi="宋体" w:eastAsia="宋体" w:cs="宋体"/>
          <w:sz w:val="28"/>
          <w:szCs w:val="28"/>
        </w:rPr>
      </w:pPr>
      <w:r>
        <w:rPr>
          <w:rFonts w:hint="eastAsia" w:ascii="宋体" w:hAnsi="宋体" w:eastAsia="宋体" w:cs="宋体"/>
          <w:sz w:val="28"/>
          <w:szCs w:val="28"/>
        </w:rPr>
        <w:t>采购预算：19.7万</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商定时间：</w:t>
      </w:r>
      <w:r>
        <w:rPr>
          <w:rFonts w:hint="eastAsia" w:ascii="宋体" w:hAnsi="宋体" w:eastAsia="宋体" w:cs="MS Mincho"/>
          <w:sz w:val="28"/>
          <w:szCs w:val="28"/>
        </w:rPr>
        <w:t>2019</w:t>
      </w:r>
      <w:r>
        <w:rPr>
          <w:rFonts w:hint="eastAsia" w:ascii="宋体" w:hAnsi="宋体" w:eastAsia="宋体" w:cs="宋体"/>
          <w:sz w:val="28"/>
          <w:szCs w:val="28"/>
        </w:rPr>
        <w:t>年</w:t>
      </w:r>
      <w:r>
        <w:rPr>
          <w:rFonts w:hint="eastAsia" w:ascii="宋体" w:hAnsi="宋体" w:eastAsia="宋体" w:cs="MS Mincho"/>
          <w:sz w:val="28"/>
          <w:szCs w:val="28"/>
        </w:rPr>
        <w:t>12</w:t>
      </w:r>
      <w:r>
        <w:rPr>
          <w:rFonts w:hint="eastAsia" w:ascii="宋体" w:hAnsi="宋体" w:eastAsia="宋体" w:cs="宋体"/>
          <w:sz w:val="28"/>
          <w:szCs w:val="28"/>
        </w:rPr>
        <w:t>月</w:t>
      </w:r>
      <w:r>
        <w:rPr>
          <w:rFonts w:hint="eastAsia" w:ascii="宋体" w:hAnsi="宋体" w:eastAsia="宋体" w:cs="MS Mincho"/>
          <w:sz w:val="28"/>
          <w:szCs w:val="28"/>
        </w:rPr>
        <w:t>26</w:t>
      </w:r>
      <w:r>
        <w:rPr>
          <w:rFonts w:hint="eastAsia" w:ascii="宋体" w:hAnsi="宋体" w:eastAsia="宋体" w:cs="宋体"/>
          <w:sz w:val="28"/>
          <w:szCs w:val="28"/>
        </w:rPr>
        <w:t>日</w:t>
      </w:r>
      <w:r>
        <w:rPr>
          <w:rFonts w:hint="eastAsia" w:ascii="宋体" w:hAnsi="宋体" w:eastAsia="宋体" w:cs="MS Mincho"/>
          <w:sz w:val="28"/>
          <w:szCs w:val="28"/>
        </w:rPr>
        <w:t>14</w:t>
      </w:r>
      <w:r>
        <w:rPr>
          <w:rFonts w:hint="eastAsia" w:ascii="宋体" w:hAnsi="宋体" w:eastAsia="宋体" w:cs="宋体"/>
          <w:sz w:val="28"/>
          <w:szCs w:val="28"/>
        </w:rPr>
        <w:t>时30分。</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商定地点：扬州市邗江区润扬南路33号南邮通达行政楼9楼评标室</w:t>
      </w:r>
      <w:r>
        <w:rPr>
          <w:rFonts w:hint="eastAsia" w:ascii="宋体" w:hAnsi="MS Mincho" w:eastAsia="MS Mincho" w:cs="MS Mincho"/>
          <w:sz w:val="28"/>
          <w:szCs w:val="28"/>
        </w:rPr>
        <w:t> </w:t>
      </w: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jc w:val="center"/>
        <w:rPr>
          <w:rFonts w:ascii="宋体" w:hAnsi="宋体" w:eastAsia="宋体" w:cs="宋体"/>
          <w:b/>
          <w:sz w:val="36"/>
          <w:szCs w:val="36"/>
        </w:rPr>
      </w:pPr>
      <w:r>
        <w:rPr>
          <w:rFonts w:hint="eastAsia" w:ascii="宋体" w:hAnsi="宋体" w:eastAsia="宋体" w:cs="MS Mincho"/>
          <w:b/>
          <w:sz w:val="36"/>
          <w:szCs w:val="36"/>
        </w:rPr>
        <w:t>第二章</w:t>
      </w:r>
      <w:r>
        <w:rPr>
          <w:rFonts w:hint="eastAsia" w:ascii="宋体" w:hAnsi="宋体" w:eastAsia="MS Mincho" w:cs="MS Mincho"/>
          <w:b/>
          <w:sz w:val="36"/>
          <w:szCs w:val="36"/>
        </w:rPr>
        <w:t>  </w:t>
      </w:r>
      <w:r>
        <w:rPr>
          <w:rFonts w:hint="eastAsia" w:ascii="宋体" w:hAnsi="宋体" w:eastAsia="宋体" w:cs="宋体"/>
          <w:b/>
          <w:sz w:val="36"/>
          <w:szCs w:val="36"/>
        </w:rPr>
        <w:t>采购项目内容</w:t>
      </w:r>
    </w:p>
    <w:p>
      <w:pPr>
        <w:widowControl/>
        <w:spacing w:line="440" w:lineRule="exact"/>
        <w:ind w:firstLine="560"/>
        <w:jc w:val="left"/>
        <w:rPr>
          <w:rFonts w:ascii="宋体" w:hAnsi="宋体" w:eastAsia="宋体"/>
          <w:b/>
          <w:kern w:val="0"/>
          <w:sz w:val="24"/>
          <w:szCs w:val="24"/>
        </w:rPr>
      </w:pPr>
      <w:r>
        <w:rPr>
          <w:rFonts w:hint="eastAsia" w:ascii="宋体" w:hAnsi="宋体" w:eastAsia="宋体" w:cs="Times New Roman"/>
          <w:b/>
          <w:kern w:val="0"/>
          <w:sz w:val="24"/>
          <w:szCs w:val="24"/>
        </w:rPr>
        <w:t>合格的谈判人</w:t>
      </w:r>
      <w:r>
        <w:rPr>
          <w:rFonts w:hint="eastAsia" w:ascii="宋体" w:hAnsi="宋体" w:eastAsia="宋体"/>
          <w:b/>
          <w:kern w:val="0"/>
          <w:sz w:val="24"/>
          <w:szCs w:val="24"/>
        </w:rPr>
        <w:t>资质要求</w:t>
      </w:r>
      <w:r>
        <w:rPr>
          <w:rFonts w:hint="eastAsia" w:ascii="宋体" w:hAnsi="宋体" w:eastAsia="宋体" w:cs="Times New Roman"/>
          <w:b/>
          <w:kern w:val="0"/>
          <w:sz w:val="24"/>
          <w:szCs w:val="24"/>
        </w:rPr>
        <w:t>：</w:t>
      </w:r>
    </w:p>
    <w:p>
      <w:pPr>
        <w:pStyle w:val="9"/>
        <w:shd w:val="clear" w:color="auto" w:fill="FFFFFF"/>
        <w:spacing w:line="440" w:lineRule="exact"/>
        <w:ind w:firstLine="480" w:firstLineChars="200"/>
        <w:rPr>
          <w:rFonts w:ascii="宋体" w:hAnsi="宋体"/>
          <w:szCs w:val="24"/>
        </w:rPr>
      </w:pPr>
      <w:r>
        <w:rPr>
          <w:rFonts w:hint="eastAsia" w:ascii="宋体" w:hAnsi="宋体"/>
          <w:szCs w:val="24"/>
        </w:rPr>
        <w:t>1、谈判人必须是经国家有关部门批准，具有合法经营资质、符合《中华人民共和国政府采购法》第二十二条规定的独立法人；</w:t>
      </w:r>
    </w:p>
    <w:p>
      <w:pPr>
        <w:pStyle w:val="9"/>
        <w:shd w:val="clear" w:color="auto" w:fill="FFFFFF"/>
        <w:spacing w:line="440" w:lineRule="exact"/>
        <w:ind w:firstLine="480" w:firstLineChars="200"/>
        <w:rPr>
          <w:rFonts w:ascii="宋体" w:hAnsi="宋体"/>
          <w:szCs w:val="24"/>
        </w:rPr>
      </w:pPr>
      <w:r>
        <w:rPr>
          <w:rFonts w:hint="eastAsia" w:ascii="宋体" w:hAnsi="宋体"/>
          <w:szCs w:val="24"/>
        </w:rPr>
        <w:t>2、谈判人具有项目必须的技术条件或经营能力，具备法律法规规定的其它条件和良好的社会信誉，在经营活动中没有违法违规记录，近三年内没有被司法部门或行业主管部门处罚，提供书面声明；</w:t>
      </w:r>
    </w:p>
    <w:p>
      <w:pPr>
        <w:pStyle w:val="9"/>
        <w:shd w:val="clear" w:color="auto" w:fill="FFFFFF"/>
        <w:spacing w:line="440" w:lineRule="exact"/>
        <w:ind w:firstLine="482" w:firstLineChars="200"/>
        <w:rPr>
          <w:rFonts w:ascii="宋体" w:hAnsi="宋体"/>
          <w:b/>
          <w:szCs w:val="24"/>
        </w:rPr>
      </w:pPr>
      <w:r>
        <w:rPr>
          <w:rFonts w:hint="eastAsia" w:ascii="宋体" w:hAnsi="宋体"/>
          <w:b/>
          <w:szCs w:val="24"/>
        </w:rPr>
        <w:t xml:space="preserve">3、谈判人未被“信用中国”（www.creditchina.gov.cn）或“诚信江苏”（www.jscredit.gov.cn）或中国政府采购网（www.ccgp.gov.cn）列入失信被执行人、重大税收违法案件当事人名单、政府采购严重失信行为记录名单，提供网页截图。 </w:t>
      </w:r>
    </w:p>
    <w:p>
      <w:pPr>
        <w:pStyle w:val="9"/>
        <w:shd w:val="clear" w:color="auto" w:fill="FFFFFF"/>
        <w:spacing w:line="440" w:lineRule="exact"/>
        <w:ind w:firstLine="480" w:firstLineChars="200"/>
        <w:rPr>
          <w:rFonts w:ascii="宋体" w:hAnsi="宋体"/>
          <w:szCs w:val="24"/>
        </w:rPr>
      </w:pPr>
      <w:r>
        <w:rPr>
          <w:rFonts w:hint="eastAsia" w:ascii="宋体" w:hAnsi="宋体"/>
          <w:szCs w:val="24"/>
        </w:rPr>
        <w:t>4、本项目不接受联合体谈判。</w:t>
      </w:r>
    </w:p>
    <w:p>
      <w:pPr>
        <w:spacing w:line="360" w:lineRule="auto"/>
        <w:rPr>
          <w:rFonts w:ascii="Times New Roman" w:hAnsi="Times New Roman"/>
          <w:b/>
          <w:sz w:val="28"/>
          <w:szCs w:val="28"/>
          <w:highlight w:val="yellow"/>
        </w:rPr>
      </w:pPr>
    </w:p>
    <w:p>
      <w:pPr>
        <w:numPr>
          <w:ilvl w:val="0"/>
          <w:numId w:val="1"/>
        </w:numPr>
        <w:tabs>
          <w:tab w:val="clear" w:pos="480"/>
        </w:tabs>
        <w:spacing w:line="360" w:lineRule="auto"/>
        <w:ind w:hanging="1047"/>
        <w:rPr>
          <w:rFonts w:ascii="Times New Roman" w:hAnsi="Times New Roman"/>
          <w:b/>
          <w:sz w:val="28"/>
          <w:szCs w:val="28"/>
        </w:rPr>
      </w:pPr>
      <w:r>
        <w:rPr>
          <w:rFonts w:hint="eastAsia" w:ascii="Times New Roman"/>
          <w:b/>
          <w:sz w:val="28"/>
          <w:szCs w:val="28"/>
        </w:rPr>
        <w:t>系统</w:t>
      </w:r>
      <w:r>
        <w:rPr>
          <w:rFonts w:ascii="Times New Roman"/>
          <w:b/>
          <w:sz w:val="28"/>
          <w:szCs w:val="28"/>
        </w:rPr>
        <w:t>总体</w:t>
      </w:r>
      <w:r>
        <w:rPr>
          <w:rFonts w:hint="eastAsia" w:ascii="Times New Roman"/>
          <w:b/>
          <w:sz w:val="28"/>
          <w:szCs w:val="28"/>
        </w:rPr>
        <w:t>要求</w:t>
      </w:r>
    </w:p>
    <w:p>
      <w:pPr>
        <w:spacing w:line="360" w:lineRule="auto"/>
        <w:ind w:firstLine="480" w:firstLineChars="200"/>
        <w:rPr>
          <w:rFonts w:ascii="Times New Roman" w:hAnsi="Times New Roman"/>
          <w:b/>
          <w:sz w:val="24"/>
        </w:rPr>
      </w:pPr>
      <w:r>
        <w:rPr>
          <w:rFonts w:ascii="Times New Roman"/>
          <w:sz w:val="24"/>
        </w:rPr>
        <w:t>电工实训实验室基础电工</w:t>
      </w:r>
      <w:r>
        <w:rPr>
          <w:rFonts w:hint="eastAsia" w:ascii="Times New Roman"/>
          <w:sz w:val="24"/>
        </w:rPr>
        <w:t>实训</w:t>
      </w:r>
      <w:r>
        <w:rPr>
          <w:rFonts w:ascii="Times New Roman"/>
          <w:sz w:val="24"/>
        </w:rPr>
        <w:t>实验</w:t>
      </w:r>
      <w:r>
        <w:rPr>
          <w:rFonts w:hint="eastAsia" w:ascii="Times New Roman"/>
          <w:sz w:val="24"/>
        </w:rPr>
        <w:t>室。</w:t>
      </w:r>
      <w:r>
        <w:rPr>
          <w:rFonts w:ascii="Times New Roman"/>
          <w:sz w:val="24"/>
        </w:rPr>
        <w:t>旨在</w:t>
      </w:r>
      <w:r>
        <w:rPr>
          <w:rFonts w:hint="eastAsia" w:ascii="Times New Roman"/>
          <w:sz w:val="24"/>
        </w:rPr>
        <w:t>教授</w:t>
      </w:r>
      <w:r>
        <w:rPr>
          <w:rFonts w:ascii="Times New Roman"/>
          <w:sz w:val="24"/>
        </w:rPr>
        <w:t>学生的实际生活技能、动手能力、提高学生对普通强弱电的认知度并启发学生潜在的发明和创新意识</w:t>
      </w:r>
      <w:r>
        <w:rPr>
          <w:rFonts w:hint="eastAsia" w:ascii="Times New Roman" w:hAnsi="Arial"/>
          <w:sz w:val="24"/>
          <w:shd w:val="clear" w:color="auto" w:fill="FFFFFF"/>
        </w:rPr>
        <w:t>。</w:t>
      </w:r>
    </w:p>
    <w:p>
      <w:pPr>
        <w:spacing w:line="360" w:lineRule="auto"/>
        <w:ind w:firstLine="360" w:firstLineChars="150"/>
        <w:jc w:val="left"/>
        <w:rPr>
          <w:rFonts w:ascii="Times New Roman"/>
          <w:sz w:val="24"/>
        </w:rPr>
      </w:pPr>
      <w:r>
        <w:rPr>
          <w:rFonts w:ascii="Times New Roman"/>
          <w:sz w:val="24"/>
        </w:rPr>
        <w:t>实验</w:t>
      </w:r>
      <w:r>
        <w:rPr>
          <w:rFonts w:hint="eastAsia" w:ascii="Times New Roman"/>
          <w:sz w:val="24"/>
        </w:rPr>
        <w:t>系统及其相关配套设备设计、开发及研制应</w:t>
      </w:r>
      <w:r>
        <w:rPr>
          <w:rFonts w:ascii="Times New Roman"/>
          <w:sz w:val="24"/>
        </w:rPr>
        <w:t>特别注重在实验过程当中会遇到的来自各方面的安全隐患、预防和杜绝</w:t>
      </w:r>
      <w:r>
        <w:rPr>
          <w:rFonts w:hint="eastAsia" w:ascii="Times New Roman"/>
          <w:sz w:val="24"/>
        </w:rPr>
        <w:t>可能的</w:t>
      </w:r>
      <w:r>
        <w:rPr>
          <w:rFonts w:ascii="Times New Roman"/>
          <w:sz w:val="24"/>
        </w:rPr>
        <w:t>安全事故</w:t>
      </w:r>
      <w:r>
        <w:rPr>
          <w:rFonts w:hint="eastAsia" w:ascii="Times New Roman"/>
          <w:sz w:val="24"/>
        </w:rPr>
        <w:t>(如：过流、过压、缺相、触电、跌落、切割、缠绕等)</w:t>
      </w:r>
      <w:r>
        <w:rPr>
          <w:rFonts w:ascii="Times New Roman"/>
          <w:sz w:val="24"/>
        </w:rPr>
        <w:t>发生、设计设备安全保护措施</w:t>
      </w:r>
      <w:r>
        <w:rPr>
          <w:rFonts w:hint="eastAsia" w:ascii="Times New Roman"/>
          <w:sz w:val="24"/>
        </w:rPr>
        <w:t>；</w:t>
      </w:r>
      <w:r>
        <w:rPr>
          <w:rFonts w:ascii="Times New Roman"/>
          <w:sz w:val="24"/>
        </w:rPr>
        <w:t>根据</w:t>
      </w:r>
      <w:r>
        <w:rPr>
          <w:rFonts w:hint="eastAsia" w:ascii="Times New Roman"/>
          <w:sz w:val="24"/>
        </w:rPr>
        <w:t>与先期安装完成</w:t>
      </w:r>
      <w:r>
        <w:rPr>
          <w:rFonts w:ascii="Times New Roman"/>
          <w:sz w:val="24"/>
        </w:rPr>
        <w:t>电工实训实验室</w:t>
      </w:r>
      <w:r>
        <w:rPr>
          <w:rFonts w:hint="eastAsia" w:ascii="Times New Roman"/>
          <w:sz w:val="24"/>
        </w:rPr>
        <w:t>动力环境/</w:t>
      </w:r>
      <w:r>
        <w:rPr>
          <w:rFonts w:ascii="Times New Roman"/>
          <w:sz w:val="24"/>
        </w:rPr>
        <w:t>保</w:t>
      </w:r>
      <w:r>
        <w:rPr>
          <w:rFonts w:hint="eastAsia" w:ascii="Times New Roman"/>
          <w:sz w:val="24"/>
        </w:rPr>
        <w:t>全保障设备</w:t>
      </w:r>
      <w:r>
        <w:rPr>
          <w:rFonts w:ascii="Times New Roman"/>
          <w:sz w:val="24"/>
        </w:rPr>
        <w:t>配套</w:t>
      </w:r>
      <w:r>
        <w:rPr>
          <w:rFonts w:hint="eastAsia" w:ascii="Times New Roman"/>
          <w:sz w:val="24"/>
        </w:rPr>
        <w:t>设备在</w:t>
      </w:r>
      <w:r>
        <w:rPr>
          <w:rFonts w:ascii="Times New Roman"/>
          <w:sz w:val="24"/>
        </w:rPr>
        <w:t>硬件、软件</w:t>
      </w:r>
      <w:r>
        <w:rPr>
          <w:rFonts w:hint="eastAsia" w:ascii="Times New Roman"/>
          <w:sz w:val="24"/>
        </w:rPr>
        <w:t>、功能、指标参数上完全</w:t>
      </w:r>
      <w:r>
        <w:rPr>
          <w:rFonts w:ascii="Times New Roman"/>
          <w:sz w:val="24"/>
        </w:rPr>
        <w:t>对接、</w:t>
      </w:r>
      <w:r>
        <w:rPr>
          <w:rFonts w:hint="eastAsia" w:ascii="Times New Roman"/>
          <w:sz w:val="24"/>
        </w:rPr>
        <w:t>匹配。</w:t>
      </w:r>
    </w:p>
    <w:p>
      <w:pPr>
        <w:spacing w:line="360" w:lineRule="auto"/>
        <w:ind w:firstLine="480" w:firstLineChars="200"/>
        <w:jc w:val="left"/>
        <w:rPr>
          <w:rFonts w:ascii="Times New Roman"/>
          <w:sz w:val="24"/>
        </w:rPr>
      </w:pPr>
      <w:r>
        <w:rPr>
          <w:rFonts w:ascii="Times New Roman"/>
          <w:sz w:val="24"/>
        </w:rPr>
        <w:t>实验</w:t>
      </w:r>
      <w:r>
        <w:rPr>
          <w:rFonts w:hint="eastAsia" w:ascii="Times New Roman"/>
          <w:sz w:val="24"/>
        </w:rPr>
        <w:t>系统及其相关配套设备要求在研制完成后，应向需求方提供</w:t>
      </w:r>
      <w:r>
        <w:rPr>
          <w:rFonts w:ascii="Times New Roman" w:hAnsi="Times New Roman"/>
          <w:sz w:val="24"/>
        </w:rPr>
        <w:t>2</w:t>
      </w:r>
      <w:r>
        <w:rPr>
          <w:rFonts w:ascii="Times New Roman"/>
          <w:sz w:val="24"/>
        </w:rPr>
        <w:t>套以上样机</w:t>
      </w:r>
      <w:r>
        <w:rPr>
          <w:rFonts w:hint="eastAsia" w:ascii="Times New Roman"/>
          <w:sz w:val="24"/>
        </w:rPr>
        <w:t>、提供符合需求方要求的</w:t>
      </w:r>
      <w:r>
        <w:rPr>
          <w:rFonts w:hint="eastAsia" w:ascii="Times New Roman"/>
          <w:kern w:val="0"/>
          <w:sz w:val="24"/>
        </w:rPr>
        <w:t>维修电工考试</w:t>
      </w:r>
      <w:r>
        <w:rPr>
          <w:rFonts w:ascii="Times New Roman"/>
          <w:kern w:val="0"/>
          <w:sz w:val="24"/>
        </w:rPr>
        <w:t>排故</w:t>
      </w:r>
      <w:r>
        <w:rPr>
          <w:rFonts w:hint="eastAsia" w:ascii="Times New Roman"/>
          <w:kern w:val="0"/>
          <w:sz w:val="24"/>
        </w:rPr>
        <w:t>模</w:t>
      </w:r>
      <w:r>
        <w:rPr>
          <w:rFonts w:ascii="Times New Roman"/>
          <w:kern w:val="0"/>
          <w:sz w:val="24"/>
        </w:rPr>
        <w:t>板</w:t>
      </w:r>
      <w:r>
        <w:rPr>
          <w:rFonts w:hint="eastAsia" w:ascii="Times New Roman"/>
          <w:sz w:val="24"/>
        </w:rPr>
        <w:t>，待需求方评估、确认无误再进行大规模生产。</w:t>
      </w:r>
    </w:p>
    <w:p>
      <w:pPr>
        <w:spacing w:line="360" w:lineRule="auto"/>
        <w:ind w:firstLine="360" w:firstLineChars="150"/>
        <w:jc w:val="left"/>
        <w:rPr>
          <w:rFonts w:ascii="Times New Roman"/>
          <w:sz w:val="24"/>
        </w:rPr>
      </w:pPr>
      <w:r>
        <w:rPr>
          <w:rFonts w:hint="eastAsia" w:ascii="Times New Roman"/>
          <w:sz w:val="24"/>
        </w:rPr>
        <w:t xml:space="preserve"> 本项目要求谈判方与提供实验设备配套的教学实验课件、实验指导书。</w:t>
      </w:r>
    </w:p>
    <w:p>
      <w:pPr>
        <w:spacing w:line="360" w:lineRule="auto"/>
        <w:ind w:firstLine="360" w:firstLineChars="150"/>
        <w:jc w:val="left"/>
        <w:rPr>
          <w:rFonts w:ascii="Times New Roman"/>
          <w:sz w:val="24"/>
        </w:rPr>
      </w:pPr>
    </w:p>
    <w:p>
      <w:pPr>
        <w:numPr>
          <w:ilvl w:val="0"/>
          <w:numId w:val="1"/>
        </w:numPr>
        <w:spacing w:line="360" w:lineRule="auto"/>
        <w:ind w:hanging="1047"/>
        <w:rPr>
          <w:rFonts w:ascii="Times New Roman" w:hAnsi="Times New Roman"/>
          <w:b/>
          <w:sz w:val="28"/>
          <w:szCs w:val="28"/>
        </w:rPr>
      </w:pPr>
      <w:r>
        <w:rPr>
          <w:rFonts w:ascii="Times New Roman"/>
          <w:b/>
          <w:sz w:val="28"/>
          <w:szCs w:val="28"/>
        </w:rPr>
        <w:t>实验</w:t>
      </w:r>
      <w:r>
        <w:rPr>
          <w:rFonts w:hint="eastAsia" w:ascii="Times New Roman"/>
          <w:b/>
          <w:sz w:val="28"/>
          <w:szCs w:val="28"/>
        </w:rPr>
        <w:t>系统及其相关配套设备功能(性能)</w:t>
      </w:r>
      <w:r>
        <w:rPr>
          <w:rFonts w:ascii="Times New Roman"/>
          <w:b/>
          <w:sz w:val="28"/>
          <w:szCs w:val="28"/>
        </w:rPr>
        <w:t>要求</w:t>
      </w:r>
    </w:p>
    <w:p>
      <w:pPr>
        <w:numPr>
          <w:ilvl w:val="1"/>
          <w:numId w:val="2"/>
        </w:numPr>
        <w:spacing w:line="360" w:lineRule="auto"/>
        <w:rPr>
          <w:rFonts w:ascii="Times New Roman" w:hAnsi="Times New Roman"/>
          <w:bCs/>
          <w:sz w:val="24"/>
        </w:rPr>
      </w:pPr>
      <w:r>
        <w:rPr>
          <w:rFonts w:hint="eastAsia" w:ascii="Times New Roman"/>
          <w:bCs/>
          <w:sz w:val="24"/>
        </w:rPr>
        <w:t>系统设备状态及保护</w:t>
      </w:r>
    </w:p>
    <w:p>
      <w:pPr>
        <w:spacing w:line="360" w:lineRule="auto"/>
        <w:ind w:firstLine="240" w:firstLineChars="100"/>
        <w:rPr>
          <w:rFonts w:ascii="Times New Roman"/>
          <w:sz w:val="24"/>
        </w:rPr>
      </w:pPr>
      <w:r>
        <w:rPr>
          <w:rFonts w:ascii="Times New Roman" w:hAnsi="Times New Roman"/>
          <w:bCs/>
          <w:sz w:val="24"/>
        </w:rPr>
        <w:t xml:space="preserve">  </w:t>
      </w:r>
      <w:r>
        <w:rPr>
          <w:rFonts w:ascii="Times New Roman"/>
          <w:sz w:val="24"/>
        </w:rPr>
        <w:t>基础电工实验必须有完善的仪表及信号展示和设制功能、除了基本的人身防护措施之外、设备所处在的各种状态需一目了然</w:t>
      </w:r>
      <w:r>
        <w:rPr>
          <w:rFonts w:hint="eastAsia" w:ascii="Times New Roman"/>
          <w:sz w:val="24"/>
        </w:rPr>
        <w:t>。</w:t>
      </w:r>
    </w:p>
    <w:p>
      <w:pPr>
        <w:spacing w:line="360" w:lineRule="auto"/>
        <w:rPr>
          <w:rFonts w:ascii="Times New Roman"/>
          <w:sz w:val="24"/>
        </w:rPr>
      </w:pPr>
      <w:r>
        <w:rPr>
          <w:rFonts w:hint="eastAsia" w:ascii="Times New Roman"/>
          <w:sz w:val="24"/>
        </w:rPr>
        <w:t>2.1.1 要求包含但不仅限于以下工作状态指示</w:t>
      </w:r>
    </w:p>
    <w:p>
      <w:pPr>
        <w:numPr>
          <w:ilvl w:val="0"/>
          <w:numId w:val="3"/>
        </w:numPr>
        <w:tabs>
          <w:tab w:val="clear" w:pos="420"/>
        </w:tabs>
        <w:spacing w:line="360" w:lineRule="auto"/>
        <w:ind w:left="945"/>
        <w:rPr>
          <w:rFonts w:ascii="Times New Roman"/>
          <w:sz w:val="24"/>
        </w:rPr>
      </w:pPr>
      <w:r>
        <w:rPr>
          <w:rFonts w:ascii="Times New Roman"/>
          <w:sz w:val="24"/>
        </w:rPr>
        <w:t>停止</w:t>
      </w:r>
    </w:p>
    <w:p>
      <w:pPr>
        <w:numPr>
          <w:ilvl w:val="0"/>
          <w:numId w:val="3"/>
        </w:numPr>
        <w:tabs>
          <w:tab w:val="clear" w:pos="420"/>
        </w:tabs>
        <w:spacing w:line="360" w:lineRule="auto"/>
        <w:ind w:left="945"/>
        <w:rPr>
          <w:rFonts w:ascii="Times New Roman"/>
          <w:sz w:val="24"/>
        </w:rPr>
      </w:pPr>
      <w:r>
        <w:rPr>
          <w:rFonts w:ascii="Times New Roman"/>
          <w:sz w:val="24"/>
        </w:rPr>
        <w:t>启动</w:t>
      </w:r>
    </w:p>
    <w:p>
      <w:pPr>
        <w:numPr>
          <w:ilvl w:val="0"/>
          <w:numId w:val="3"/>
        </w:numPr>
        <w:tabs>
          <w:tab w:val="clear" w:pos="420"/>
        </w:tabs>
        <w:spacing w:line="360" w:lineRule="auto"/>
        <w:ind w:left="945"/>
        <w:rPr>
          <w:rFonts w:ascii="Times New Roman"/>
          <w:sz w:val="24"/>
        </w:rPr>
      </w:pPr>
      <w:r>
        <w:rPr>
          <w:rFonts w:ascii="Times New Roman"/>
          <w:sz w:val="24"/>
        </w:rPr>
        <w:t>运行</w:t>
      </w:r>
    </w:p>
    <w:p>
      <w:pPr>
        <w:numPr>
          <w:ilvl w:val="0"/>
          <w:numId w:val="3"/>
        </w:numPr>
        <w:tabs>
          <w:tab w:val="clear" w:pos="420"/>
        </w:tabs>
        <w:spacing w:line="360" w:lineRule="auto"/>
        <w:ind w:left="945"/>
        <w:rPr>
          <w:rFonts w:ascii="Times New Roman"/>
          <w:sz w:val="24"/>
        </w:rPr>
      </w:pPr>
      <w:r>
        <w:rPr>
          <w:rFonts w:ascii="Times New Roman"/>
          <w:sz w:val="24"/>
        </w:rPr>
        <w:t>保护</w:t>
      </w:r>
    </w:p>
    <w:p>
      <w:pPr>
        <w:numPr>
          <w:ilvl w:val="0"/>
          <w:numId w:val="3"/>
        </w:numPr>
        <w:tabs>
          <w:tab w:val="clear" w:pos="420"/>
        </w:tabs>
        <w:spacing w:line="360" w:lineRule="auto"/>
        <w:ind w:left="945"/>
        <w:rPr>
          <w:rFonts w:ascii="Times New Roman" w:hAnsi="Times New Roman"/>
          <w:bCs/>
          <w:sz w:val="24"/>
        </w:rPr>
      </w:pPr>
      <w:r>
        <w:rPr>
          <w:rFonts w:ascii="Times New Roman"/>
          <w:sz w:val="24"/>
        </w:rPr>
        <w:t>报警</w:t>
      </w:r>
    </w:p>
    <w:p>
      <w:pPr>
        <w:numPr>
          <w:ilvl w:val="2"/>
          <w:numId w:val="4"/>
        </w:numPr>
        <w:spacing w:line="360" w:lineRule="auto"/>
        <w:rPr>
          <w:rFonts w:ascii="Times New Roman"/>
          <w:bCs/>
          <w:sz w:val="24"/>
        </w:rPr>
      </w:pPr>
      <w:r>
        <w:rPr>
          <w:rFonts w:hint="eastAsia" w:ascii="Times New Roman"/>
          <w:bCs/>
          <w:sz w:val="24"/>
        </w:rPr>
        <w:t>系统保护:</w:t>
      </w:r>
      <w:r>
        <w:rPr>
          <w:rFonts w:hint="eastAsia" w:ascii="Times New Roman"/>
          <w:sz w:val="24"/>
        </w:rPr>
        <w:t xml:space="preserve"> 要求与已有操作控制台配合完成包含但不仅限于以下保护功能：</w:t>
      </w:r>
    </w:p>
    <w:p>
      <w:pPr>
        <w:numPr>
          <w:ilvl w:val="0"/>
          <w:numId w:val="5"/>
        </w:numPr>
        <w:spacing w:line="360" w:lineRule="auto"/>
        <w:ind w:firstLine="105"/>
        <w:rPr>
          <w:rFonts w:ascii="Times New Roman"/>
          <w:bCs/>
          <w:sz w:val="24"/>
        </w:rPr>
      </w:pPr>
      <w:r>
        <w:rPr>
          <w:rFonts w:hint="eastAsia"/>
          <w:sz w:val="24"/>
        </w:rPr>
        <w:t>过电流和短路保护</w:t>
      </w:r>
    </w:p>
    <w:p>
      <w:pPr>
        <w:numPr>
          <w:ilvl w:val="0"/>
          <w:numId w:val="5"/>
        </w:numPr>
        <w:spacing w:line="360" w:lineRule="auto"/>
        <w:ind w:firstLine="105"/>
        <w:rPr>
          <w:rFonts w:ascii="Times New Roman"/>
          <w:bCs/>
          <w:sz w:val="24"/>
        </w:rPr>
      </w:pPr>
      <w:r>
        <w:rPr>
          <w:rFonts w:hint="eastAsia"/>
          <w:sz w:val="24"/>
        </w:rPr>
        <w:t>漏电保护</w:t>
      </w:r>
    </w:p>
    <w:p>
      <w:pPr>
        <w:numPr>
          <w:ilvl w:val="0"/>
          <w:numId w:val="5"/>
        </w:numPr>
        <w:spacing w:line="360" w:lineRule="auto"/>
        <w:ind w:firstLine="105"/>
        <w:rPr>
          <w:rFonts w:ascii="Times New Roman"/>
          <w:bCs/>
          <w:sz w:val="24"/>
        </w:rPr>
      </w:pPr>
      <w:r>
        <w:rPr>
          <w:rFonts w:hint="eastAsia"/>
          <w:sz w:val="24"/>
        </w:rPr>
        <w:t>缺零保护</w:t>
      </w:r>
    </w:p>
    <w:p>
      <w:pPr>
        <w:numPr>
          <w:ilvl w:val="0"/>
          <w:numId w:val="5"/>
        </w:numPr>
        <w:spacing w:line="360" w:lineRule="auto"/>
        <w:ind w:firstLine="105"/>
        <w:rPr>
          <w:rFonts w:ascii="Times New Roman"/>
          <w:bCs/>
          <w:sz w:val="24"/>
        </w:rPr>
      </w:pPr>
      <w:r>
        <w:rPr>
          <w:rFonts w:hint="eastAsia"/>
          <w:sz w:val="24"/>
        </w:rPr>
        <w:t>相序不平衡保护</w:t>
      </w:r>
    </w:p>
    <w:p>
      <w:pPr>
        <w:numPr>
          <w:ilvl w:val="1"/>
          <w:numId w:val="2"/>
        </w:numPr>
        <w:spacing w:line="360" w:lineRule="auto"/>
        <w:rPr>
          <w:rFonts w:ascii="Times New Roman" w:hAnsi="Times New Roman"/>
          <w:bCs/>
          <w:sz w:val="24"/>
        </w:rPr>
      </w:pPr>
      <w:r>
        <w:rPr>
          <w:rFonts w:hint="eastAsia" w:ascii="Times New Roman"/>
          <w:bCs/>
          <w:sz w:val="24"/>
        </w:rPr>
        <w:t>系统设备</w:t>
      </w:r>
      <w:r>
        <w:rPr>
          <w:rFonts w:ascii="Times New Roman"/>
          <w:bCs/>
          <w:sz w:val="24"/>
        </w:rPr>
        <w:t>硬件</w:t>
      </w:r>
    </w:p>
    <w:p>
      <w:pPr>
        <w:spacing w:line="360" w:lineRule="auto"/>
        <w:rPr>
          <w:rFonts w:ascii="Times New Roman"/>
          <w:sz w:val="24"/>
        </w:rPr>
      </w:pPr>
      <w:r>
        <w:rPr>
          <w:rFonts w:ascii="Times New Roman" w:hAnsi="Times New Roman"/>
          <w:bCs/>
          <w:sz w:val="24"/>
        </w:rPr>
        <w:t xml:space="preserve">  </w:t>
      </w:r>
      <w:r>
        <w:rPr>
          <w:rFonts w:hint="eastAsia" w:ascii="Times New Roman" w:hAnsi="Times New Roman"/>
          <w:bCs/>
          <w:sz w:val="24"/>
        </w:rPr>
        <w:t xml:space="preserve">  </w:t>
      </w:r>
      <w:r>
        <w:rPr>
          <w:rFonts w:ascii="Times New Roman"/>
          <w:sz w:val="24"/>
        </w:rPr>
        <w:t>基础电工实验</w:t>
      </w:r>
      <w:r>
        <w:rPr>
          <w:rFonts w:hint="eastAsia" w:ascii="Times New Roman"/>
          <w:sz w:val="24"/>
        </w:rPr>
        <w:t>系统</w:t>
      </w:r>
      <w:r>
        <w:rPr>
          <w:rFonts w:ascii="Times New Roman"/>
          <w:sz w:val="24"/>
        </w:rPr>
        <w:t>设备需与</w:t>
      </w:r>
      <w:r>
        <w:rPr>
          <w:rFonts w:hint="eastAsia" w:ascii="Times New Roman"/>
          <w:sz w:val="24"/>
        </w:rPr>
        <w:t>已有操作控制台配合匹配。实验采用</w:t>
      </w:r>
      <w:r>
        <w:rPr>
          <w:rFonts w:ascii="Times New Roman"/>
          <w:kern w:val="0"/>
          <w:sz w:val="24"/>
        </w:rPr>
        <w:t>实验操作</w:t>
      </w:r>
      <w:r>
        <w:rPr>
          <w:rFonts w:ascii="Times New Roman"/>
          <w:sz w:val="24"/>
        </w:rPr>
        <w:t>屏架</w:t>
      </w:r>
      <w:r>
        <w:rPr>
          <w:rFonts w:hint="eastAsia" w:ascii="Times New Roman"/>
          <w:sz w:val="24"/>
        </w:rPr>
        <w:t>形式进行。所有</w:t>
      </w:r>
      <w:r>
        <w:rPr>
          <w:rFonts w:ascii="Times New Roman"/>
          <w:sz w:val="24"/>
        </w:rPr>
        <w:t>实验</w:t>
      </w:r>
      <w:r>
        <w:rPr>
          <w:rFonts w:hint="eastAsia" w:ascii="Times New Roman"/>
          <w:sz w:val="24"/>
        </w:rPr>
        <w:t>系统及其相关配套设备电气性能、外形</w:t>
      </w:r>
      <w:r>
        <w:rPr>
          <w:rFonts w:ascii="Times New Roman"/>
          <w:sz w:val="24"/>
        </w:rPr>
        <w:t>尺寸和</w:t>
      </w:r>
      <w:r>
        <w:rPr>
          <w:rFonts w:hint="eastAsia" w:ascii="Times New Roman"/>
          <w:sz w:val="24"/>
        </w:rPr>
        <w:t>制作</w:t>
      </w:r>
      <w:r>
        <w:rPr>
          <w:rFonts w:ascii="Times New Roman"/>
          <w:sz w:val="24"/>
        </w:rPr>
        <w:t>工艺结构必须严格根据需</w:t>
      </w:r>
      <w:r>
        <w:rPr>
          <w:rFonts w:hint="eastAsia" w:ascii="Times New Roman"/>
          <w:sz w:val="24"/>
        </w:rPr>
        <w:t>求</w:t>
      </w:r>
      <w:r>
        <w:rPr>
          <w:rFonts w:ascii="Times New Roman"/>
          <w:sz w:val="24"/>
        </w:rPr>
        <w:t>方的</w:t>
      </w:r>
      <w:r>
        <w:rPr>
          <w:rFonts w:hint="eastAsia" w:ascii="Times New Roman"/>
          <w:sz w:val="24"/>
        </w:rPr>
        <w:t>要求、与实训实验室已有动力环境条件、已有实验安全保护保障系统、设备性能匹配。</w:t>
      </w:r>
    </w:p>
    <w:p>
      <w:pPr>
        <w:numPr>
          <w:ilvl w:val="1"/>
          <w:numId w:val="2"/>
        </w:numPr>
        <w:spacing w:line="360" w:lineRule="auto"/>
        <w:rPr>
          <w:rFonts w:ascii="Times New Roman" w:hAnsi="Times New Roman"/>
          <w:bCs/>
          <w:sz w:val="24"/>
        </w:rPr>
      </w:pPr>
      <w:r>
        <w:rPr>
          <w:rFonts w:hint="eastAsia" w:ascii="Times New Roman"/>
          <w:sz w:val="24"/>
        </w:rPr>
        <w:t>必备</w:t>
      </w:r>
      <w:r>
        <w:rPr>
          <w:rFonts w:hint="eastAsia" w:ascii="Times New Roman"/>
          <w:bCs/>
          <w:sz w:val="24"/>
        </w:rPr>
        <w:t>系统设备</w:t>
      </w:r>
      <w:r>
        <w:rPr>
          <w:rFonts w:ascii="Times New Roman"/>
          <w:bCs/>
          <w:sz w:val="24"/>
        </w:rPr>
        <w:t>硬件</w:t>
      </w:r>
    </w:p>
    <w:p>
      <w:pPr>
        <w:numPr>
          <w:ilvl w:val="0"/>
          <w:numId w:val="6"/>
        </w:numPr>
        <w:spacing w:line="360" w:lineRule="auto"/>
        <w:rPr>
          <w:rFonts w:ascii="Times New Roman"/>
          <w:sz w:val="24"/>
        </w:rPr>
      </w:pPr>
      <w:r>
        <w:rPr>
          <w:rFonts w:ascii="Times New Roman"/>
          <w:kern w:val="0"/>
          <w:sz w:val="24"/>
        </w:rPr>
        <w:t>实验操作</w:t>
      </w:r>
      <w:r>
        <w:rPr>
          <w:rFonts w:ascii="Times New Roman"/>
          <w:sz w:val="24"/>
        </w:rPr>
        <w:t>屏架</w:t>
      </w:r>
    </w:p>
    <w:p>
      <w:pPr>
        <w:spacing w:line="360" w:lineRule="auto"/>
        <w:rPr>
          <w:rFonts w:ascii="Times New Roman"/>
          <w:sz w:val="24"/>
        </w:rPr>
      </w:pPr>
      <w:r>
        <w:rPr>
          <w:rFonts w:hint="eastAsia" w:ascii="Times New Roman"/>
          <w:sz w:val="24"/>
        </w:rPr>
        <w:t>1）</w:t>
      </w:r>
      <w:r>
        <w:rPr>
          <w:rFonts w:ascii="Times New Roman"/>
          <w:sz w:val="24"/>
        </w:rPr>
        <w:t>实验操作屏架</w:t>
      </w:r>
      <w:r>
        <w:rPr>
          <w:rFonts w:hint="eastAsia" w:ascii="Times New Roman"/>
          <w:sz w:val="24"/>
        </w:rPr>
        <w:t>组成：</w:t>
      </w:r>
    </w:p>
    <w:p>
      <w:pPr>
        <w:spacing w:line="360" w:lineRule="auto"/>
        <w:ind w:firstLine="480" w:firstLineChars="200"/>
        <w:rPr>
          <w:rFonts w:ascii="Times New Roman"/>
          <w:sz w:val="24"/>
        </w:rPr>
      </w:pPr>
      <w:r>
        <w:rPr>
          <w:rFonts w:ascii="Times New Roman"/>
          <w:sz w:val="24"/>
        </w:rPr>
        <w:t>基础电工及维修电工</w:t>
      </w:r>
      <w:r>
        <w:rPr>
          <w:rFonts w:ascii="Times New Roman"/>
          <w:kern w:val="0"/>
          <w:sz w:val="24"/>
        </w:rPr>
        <w:t>实验操作</w:t>
      </w:r>
      <w:r>
        <w:rPr>
          <w:rFonts w:ascii="Times New Roman"/>
          <w:sz w:val="24"/>
        </w:rPr>
        <w:t>屏架</w:t>
      </w:r>
      <w:r>
        <w:rPr>
          <w:rFonts w:hint="eastAsia" w:ascii="Times New Roman"/>
          <w:sz w:val="24"/>
        </w:rPr>
        <w:t>具有相同的外形，并根据不同的使用要求，提供不同的功能。</w:t>
      </w:r>
    </w:p>
    <w:p>
      <w:pPr>
        <w:spacing w:line="360" w:lineRule="auto"/>
        <w:ind w:firstLine="420"/>
        <w:rPr>
          <w:rFonts w:ascii="Times New Roman"/>
          <w:sz w:val="24"/>
        </w:rPr>
      </w:pPr>
      <w:r>
        <w:rPr>
          <w:rFonts w:ascii="Times New Roman"/>
          <w:sz w:val="24"/>
        </w:rPr>
        <w:t>实验操作屏架</w:t>
      </w:r>
      <w:r>
        <w:rPr>
          <w:rFonts w:hint="eastAsia" w:ascii="Times New Roman"/>
          <w:sz w:val="24"/>
        </w:rPr>
        <w:t>包含下述几部分</w:t>
      </w:r>
    </w:p>
    <w:p>
      <w:pPr>
        <w:numPr>
          <w:ilvl w:val="0"/>
          <w:numId w:val="7"/>
        </w:numPr>
        <w:spacing w:line="360" w:lineRule="auto"/>
        <w:rPr>
          <w:rFonts w:ascii="Times New Roman"/>
          <w:sz w:val="24"/>
        </w:rPr>
      </w:pPr>
      <w:r>
        <w:rPr>
          <w:rFonts w:hint="eastAsia" w:ascii="Times New Roman"/>
          <w:sz w:val="24"/>
        </w:rPr>
        <w:t>顶箱(含供电电路、控制电路、指示电路)</w:t>
      </w:r>
    </w:p>
    <w:p>
      <w:pPr>
        <w:numPr>
          <w:ilvl w:val="0"/>
          <w:numId w:val="7"/>
        </w:numPr>
        <w:spacing w:line="360" w:lineRule="auto"/>
        <w:rPr>
          <w:rFonts w:ascii="Times New Roman"/>
          <w:sz w:val="24"/>
        </w:rPr>
      </w:pPr>
      <w:r>
        <w:rPr>
          <w:rFonts w:ascii="Times New Roman"/>
          <w:sz w:val="24"/>
        </w:rPr>
        <w:t>屏架</w:t>
      </w:r>
      <w:r>
        <w:rPr>
          <w:rFonts w:hint="eastAsia" w:ascii="Times New Roman"/>
          <w:sz w:val="24"/>
        </w:rPr>
        <w:t>(可挂载网孔板，实验操作部分)</w:t>
      </w:r>
    </w:p>
    <w:p>
      <w:pPr>
        <w:numPr>
          <w:ilvl w:val="0"/>
          <w:numId w:val="7"/>
        </w:numPr>
        <w:spacing w:line="360" w:lineRule="auto"/>
        <w:rPr>
          <w:rFonts w:ascii="Times New Roman"/>
          <w:sz w:val="24"/>
        </w:rPr>
      </w:pPr>
      <w:r>
        <w:rPr>
          <w:rFonts w:hint="eastAsia" w:ascii="Times New Roman"/>
          <w:sz w:val="24"/>
        </w:rPr>
        <w:t>底座(</w:t>
      </w:r>
      <w:r>
        <w:rPr>
          <w:rFonts w:ascii="Times New Roman"/>
          <w:kern w:val="0"/>
          <w:sz w:val="24"/>
        </w:rPr>
        <w:t>配有</w:t>
      </w:r>
      <w:r>
        <w:rPr>
          <w:rFonts w:hint="eastAsia"/>
          <w:kern w:val="0"/>
          <w:sz w:val="24"/>
        </w:rPr>
        <w:t>自由轮刹车结构</w:t>
      </w:r>
      <w:r>
        <w:rPr>
          <w:rFonts w:hint="eastAsia" w:ascii="Times New Roman"/>
          <w:kern w:val="0"/>
          <w:sz w:val="24"/>
        </w:rPr>
        <w:t>)</w:t>
      </w:r>
    </w:p>
    <w:p>
      <w:pPr>
        <w:numPr>
          <w:ilvl w:val="0"/>
          <w:numId w:val="7"/>
        </w:numPr>
        <w:spacing w:line="360" w:lineRule="auto"/>
        <w:rPr>
          <w:rFonts w:ascii="Times New Roman"/>
          <w:sz w:val="24"/>
        </w:rPr>
      </w:pPr>
      <w:r>
        <w:rPr>
          <w:rFonts w:hint="eastAsia" w:ascii="Times New Roman"/>
          <w:kern w:val="0"/>
          <w:sz w:val="24"/>
        </w:rPr>
        <w:t>保护接地</w:t>
      </w:r>
    </w:p>
    <w:p>
      <w:pPr>
        <w:spacing w:line="360" w:lineRule="auto"/>
        <w:ind w:firstLine="482" w:firstLineChars="200"/>
        <w:rPr>
          <w:rFonts w:ascii="Times New Roman"/>
          <w:b/>
          <w:sz w:val="24"/>
        </w:rPr>
      </w:pPr>
      <w:r>
        <w:rPr>
          <w:rFonts w:hint="eastAsia" w:ascii="Times New Roman"/>
          <w:b/>
          <w:sz w:val="24"/>
        </w:rPr>
        <w:t>要求所有的</w:t>
      </w:r>
      <w:r>
        <w:rPr>
          <w:rFonts w:ascii="Times New Roman"/>
          <w:b/>
          <w:sz w:val="24"/>
        </w:rPr>
        <w:t>实验操作屏架</w:t>
      </w:r>
      <w:r>
        <w:rPr>
          <w:rFonts w:hint="eastAsia" w:ascii="Times New Roman"/>
          <w:b/>
          <w:sz w:val="24"/>
        </w:rPr>
        <w:t>具有“并架”功能，并架后，屏架实验操作面应在同一垂直面上。</w:t>
      </w:r>
    </w:p>
    <w:p>
      <w:pPr>
        <w:spacing w:line="360" w:lineRule="auto"/>
        <w:rPr>
          <w:rFonts w:ascii="Times New Roman"/>
          <w:kern w:val="0"/>
          <w:sz w:val="24"/>
        </w:rPr>
      </w:pPr>
      <w:r>
        <w:rPr>
          <w:rFonts w:hint="eastAsia" w:ascii="Times New Roman"/>
          <w:sz w:val="24"/>
        </w:rPr>
        <w:t>2）</w:t>
      </w:r>
      <w:r>
        <w:rPr>
          <w:rFonts w:ascii="Times New Roman"/>
          <w:kern w:val="0"/>
          <w:sz w:val="24"/>
        </w:rPr>
        <w:t>实验操作屏架</w:t>
      </w:r>
      <w:r>
        <w:rPr>
          <w:rFonts w:hint="eastAsia" w:ascii="Times New Roman"/>
          <w:kern w:val="0"/>
          <w:sz w:val="24"/>
        </w:rPr>
        <w:t>外形尺寸</w:t>
      </w:r>
    </w:p>
    <w:p>
      <w:pPr>
        <w:numPr>
          <w:ilvl w:val="0"/>
          <w:numId w:val="8"/>
        </w:numPr>
        <w:spacing w:line="360" w:lineRule="auto"/>
        <w:rPr>
          <w:rFonts w:ascii="Times New Roman" w:hAnsi="Times New Roman"/>
          <w:kern w:val="0"/>
          <w:sz w:val="24"/>
        </w:rPr>
      </w:pPr>
      <w:r>
        <w:rPr>
          <w:rFonts w:hint="eastAsia" w:ascii="Times New Roman"/>
          <w:kern w:val="0"/>
          <w:sz w:val="24"/>
        </w:rPr>
        <w:t>长：</w:t>
      </w:r>
      <w:r>
        <w:rPr>
          <w:rFonts w:hint="eastAsia" w:ascii="Times New Roman" w:hAnsi="Times New Roman"/>
          <w:kern w:val="0"/>
          <w:sz w:val="24"/>
        </w:rPr>
        <w:t>8</w:t>
      </w:r>
      <w:r>
        <w:rPr>
          <w:rFonts w:ascii="Times New Roman" w:hAnsi="Times New Roman"/>
          <w:kern w:val="0"/>
          <w:sz w:val="24"/>
        </w:rPr>
        <w:t>00</w:t>
      </w:r>
      <w:r>
        <w:rPr>
          <w:rFonts w:hint="eastAsia" w:ascii="Times New Roman" w:hAnsi="Times New Roman"/>
          <w:kern w:val="0"/>
          <w:sz w:val="24"/>
        </w:rPr>
        <w:t>mm</w:t>
      </w:r>
    </w:p>
    <w:p>
      <w:pPr>
        <w:numPr>
          <w:ilvl w:val="0"/>
          <w:numId w:val="8"/>
        </w:numPr>
        <w:spacing w:line="360" w:lineRule="auto"/>
        <w:rPr>
          <w:rFonts w:ascii="Times New Roman" w:hAnsi="Times New Roman"/>
          <w:kern w:val="0"/>
          <w:sz w:val="24"/>
        </w:rPr>
      </w:pPr>
      <w:r>
        <w:rPr>
          <w:rFonts w:hint="eastAsia" w:ascii="Times New Roman" w:hAnsi="Times New Roman"/>
          <w:kern w:val="0"/>
          <w:sz w:val="24"/>
        </w:rPr>
        <w:t>宽：800mm</w:t>
      </w:r>
    </w:p>
    <w:p>
      <w:pPr>
        <w:numPr>
          <w:ilvl w:val="0"/>
          <w:numId w:val="8"/>
        </w:numPr>
        <w:spacing w:line="360" w:lineRule="auto"/>
        <w:rPr>
          <w:rFonts w:ascii="Times New Roman" w:hAnsi="Times New Roman"/>
          <w:kern w:val="0"/>
          <w:sz w:val="24"/>
        </w:rPr>
      </w:pPr>
      <w:r>
        <w:rPr>
          <w:rFonts w:hint="eastAsia" w:ascii="Times New Roman" w:hAnsi="Times New Roman"/>
          <w:kern w:val="0"/>
          <w:sz w:val="24"/>
        </w:rPr>
        <w:t>高：2000mm</w:t>
      </w:r>
      <w:r>
        <w:rPr>
          <w:rFonts w:ascii="Times New Roman"/>
          <w:kern w:val="0"/>
          <w:sz w:val="24"/>
        </w:rPr>
        <w:t>：</w:t>
      </w:r>
    </w:p>
    <w:p>
      <w:pPr>
        <w:spacing w:line="360" w:lineRule="auto"/>
        <w:rPr>
          <w:rFonts w:ascii="Times New Roman"/>
          <w:kern w:val="0"/>
          <w:sz w:val="24"/>
        </w:rPr>
      </w:pPr>
      <w:r>
        <w:rPr>
          <w:rFonts w:hint="eastAsia" w:ascii="Times New Roman"/>
          <w:kern w:val="0"/>
          <w:sz w:val="24"/>
        </w:rPr>
        <w:t>3）</w:t>
      </w:r>
      <w:r>
        <w:rPr>
          <w:rFonts w:ascii="Times New Roman"/>
          <w:kern w:val="0"/>
          <w:sz w:val="24"/>
        </w:rPr>
        <w:t>网孔板</w:t>
      </w:r>
    </w:p>
    <w:p>
      <w:pPr>
        <w:numPr>
          <w:ilvl w:val="0"/>
          <w:numId w:val="9"/>
        </w:numPr>
        <w:spacing w:line="360" w:lineRule="auto"/>
        <w:rPr>
          <w:rFonts w:ascii="Times New Roman"/>
          <w:kern w:val="0"/>
          <w:sz w:val="24"/>
        </w:rPr>
      </w:pPr>
      <w:r>
        <w:rPr>
          <w:rFonts w:ascii="Times New Roman"/>
          <w:kern w:val="0"/>
          <w:sz w:val="24"/>
        </w:rPr>
        <w:t>网孔板尺寸</w:t>
      </w:r>
      <w:r>
        <w:rPr>
          <w:rFonts w:hint="eastAsia" w:ascii="Times New Roman" w:hAnsi="Times New Roman"/>
          <w:kern w:val="0"/>
          <w:sz w:val="24"/>
        </w:rPr>
        <w:t>8</w:t>
      </w:r>
      <w:r>
        <w:rPr>
          <w:rFonts w:ascii="Times New Roman" w:hAnsi="Times New Roman"/>
          <w:kern w:val="0"/>
          <w:sz w:val="24"/>
        </w:rPr>
        <w:t>00*800</w:t>
      </w:r>
    </w:p>
    <w:p>
      <w:pPr>
        <w:numPr>
          <w:ilvl w:val="0"/>
          <w:numId w:val="9"/>
        </w:numPr>
        <w:spacing w:line="360" w:lineRule="auto"/>
        <w:rPr>
          <w:rFonts w:ascii="Times New Roman"/>
          <w:kern w:val="0"/>
          <w:sz w:val="24"/>
        </w:rPr>
      </w:pPr>
      <w:r>
        <w:rPr>
          <w:rFonts w:ascii="Times New Roman"/>
          <w:kern w:val="0"/>
          <w:sz w:val="24"/>
        </w:rPr>
        <w:t>网孔尺寸</w:t>
      </w:r>
      <w:r>
        <w:rPr>
          <w:rFonts w:ascii="Times New Roman" w:hAnsi="Times New Roman"/>
          <w:kern w:val="0"/>
          <w:sz w:val="24"/>
        </w:rPr>
        <w:t>12*9</w:t>
      </w:r>
      <w:r>
        <w:rPr>
          <w:rFonts w:ascii="Times New Roman"/>
          <w:kern w:val="0"/>
          <w:sz w:val="24"/>
        </w:rPr>
        <w:t>、网孔板采用喷塑工艺、冷板厚度不小</w:t>
      </w:r>
      <w:r>
        <w:rPr>
          <w:rFonts w:ascii="Times New Roman" w:hAnsi="Times New Roman"/>
          <w:kern w:val="0"/>
          <w:sz w:val="24"/>
        </w:rPr>
        <w:t>1.2</w:t>
      </w:r>
      <w:r>
        <w:rPr>
          <w:rFonts w:hint="eastAsia" w:ascii="Times New Roman" w:hAnsi="Times New Roman"/>
          <w:kern w:val="0"/>
          <w:sz w:val="24"/>
        </w:rPr>
        <w:t>mm</w:t>
      </w:r>
    </w:p>
    <w:p>
      <w:pPr>
        <w:numPr>
          <w:ilvl w:val="0"/>
          <w:numId w:val="9"/>
        </w:numPr>
        <w:spacing w:line="360" w:lineRule="auto"/>
        <w:rPr>
          <w:rFonts w:ascii="Times New Roman"/>
          <w:kern w:val="0"/>
          <w:sz w:val="24"/>
        </w:rPr>
      </w:pPr>
      <w:r>
        <w:rPr>
          <w:rFonts w:ascii="Times New Roman"/>
          <w:kern w:val="0"/>
          <w:sz w:val="24"/>
        </w:rPr>
        <w:t>网孔板左右二</w:t>
      </w:r>
      <w:r>
        <w:rPr>
          <w:rFonts w:hint="eastAsia" w:ascii="Times New Roman"/>
          <w:kern w:val="0"/>
          <w:sz w:val="24"/>
        </w:rPr>
        <w:t>侧</w:t>
      </w:r>
      <w:r>
        <w:rPr>
          <w:rFonts w:ascii="Times New Roman"/>
          <w:kern w:val="0"/>
          <w:sz w:val="24"/>
        </w:rPr>
        <w:t>安装活动隐藏式拉手</w:t>
      </w:r>
    </w:p>
    <w:p>
      <w:pPr>
        <w:numPr>
          <w:ilvl w:val="0"/>
          <w:numId w:val="6"/>
        </w:numPr>
        <w:spacing w:line="360" w:lineRule="auto"/>
        <w:rPr>
          <w:rFonts w:ascii="Times New Roman"/>
          <w:sz w:val="24"/>
        </w:rPr>
      </w:pPr>
      <w:r>
        <w:rPr>
          <w:rFonts w:ascii="Times New Roman"/>
          <w:sz w:val="24"/>
        </w:rPr>
        <w:t>基础电工</w:t>
      </w:r>
      <w:r>
        <w:rPr>
          <w:rFonts w:ascii="Times New Roman"/>
          <w:kern w:val="0"/>
          <w:sz w:val="24"/>
        </w:rPr>
        <w:t>实验操作</w:t>
      </w:r>
      <w:r>
        <w:rPr>
          <w:rFonts w:ascii="Times New Roman"/>
          <w:sz w:val="24"/>
        </w:rPr>
        <w:t>屏架</w:t>
      </w:r>
    </w:p>
    <w:p>
      <w:pPr>
        <w:spacing w:line="360" w:lineRule="auto"/>
        <w:rPr>
          <w:rFonts w:ascii="Times New Roman"/>
          <w:sz w:val="24"/>
        </w:rPr>
      </w:pPr>
      <w:r>
        <w:rPr>
          <w:rFonts w:hint="eastAsia" w:ascii="Times New Roman"/>
          <w:sz w:val="24"/>
        </w:rPr>
        <w:t>1）顶箱</w:t>
      </w:r>
    </w:p>
    <w:p>
      <w:pPr>
        <w:spacing w:line="360" w:lineRule="auto"/>
        <w:ind w:firstLine="420"/>
        <w:rPr>
          <w:rFonts w:ascii="Times New Roman"/>
          <w:sz w:val="24"/>
        </w:rPr>
      </w:pPr>
      <w:r>
        <w:rPr>
          <w:rFonts w:hint="eastAsia" w:ascii="Times New Roman"/>
          <w:sz w:val="24"/>
        </w:rPr>
        <w:t>提供下列功能</w:t>
      </w:r>
    </w:p>
    <w:p>
      <w:pPr>
        <w:numPr>
          <w:ilvl w:val="0"/>
          <w:numId w:val="10"/>
        </w:numPr>
        <w:spacing w:line="360" w:lineRule="auto"/>
        <w:rPr>
          <w:rFonts w:ascii="Times New Roman" w:hAnsi="Times New Roman"/>
          <w:kern w:val="0"/>
          <w:sz w:val="24"/>
        </w:rPr>
      </w:pPr>
      <w:r>
        <w:rPr>
          <w:rFonts w:hint="eastAsia" w:ascii="Times New Roman" w:hAnsi="Times New Roman"/>
          <w:kern w:val="0"/>
          <w:sz w:val="24"/>
        </w:rPr>
        <w:t>380V交流电接入，向</w:t>
      </w:r>
      <w:r>
        <w:rPr>
          <w:rFonts w:ascii="Times New Roman"/>
          <w:sz w:val="24"/>
        </w:rPr>
        <w:t>实验操作屏架</w:t>
      </w:r>
      <w:r>
        <w:rPr>
          <w:rFonts w:hint="eastAsia" w:ascii="Times New Roman" w:hAnsi="Times New Roman"/>
          <w:kern w:val="0"/>
          <w:sz w:val="24"/>
        </w:rPr>
        <w:t>提供220V交流电</w:t>
      </w:r>
    </w:p>
    <w:p>
      <w:pPr>
        <w:numPr>
          <w:ilvl w:val="0"/>
          <w:numId w:val="10"/>
        </w:numPr>
        <w:spacing w:line="360" w:lineRule="auto"/>
        <w:rPr>
          <w:rFonts w:ascii="Times New Roman" w:hAnsi="Times New Roman"/>
          <w:kern w:val="0"/>
          <w:sz w:val="24"/>
        </w:rPr>
      </w:pPr>
      <w:r>
        <w:rPr>
          <w:rFonts w:hint="eastAsia" w:ascii="Times New Roman" w:hAnsi="Times New Roman"/>
          <w:kern w:val="0"/>
          <w:sz w:val="24"/>
        </w:rPr>
        <w:t>电源加载指示、电源使用指示、电源告警(过流)指示</w:t>
      </w:r>
    </w:p>
    <w:p>
      <w:pPr>
        <w:numPr>
          <w:ilvl w:val="0"/>
          <w:numId w:val="10"/>
        </w:numPr>
        <w:spacing w:line="360" w:lineRule="auto"/>
        <w:rPr>
          <w:rFonts w:ascii="Times New Roman" w:hAnsi="Times New Roman"/>
          <w:kern w:val="0"/>
          <w:sz w:val="24"/>
        </w:rPr>
      </w:pPr>
      <w:r>
        <w:rPr>
          <w:rFonts w:hint="eastAsia" w:ascii="Times New Roman" w:hAnsi="Times New Roman"/>
          <w:kern w:val="0"/>
          <w:sz w:val="24"/>
        </w:rPr>
        <w:t>可恢复漏电保护电路</w:t>
      </w:r>
    </w:p>
    <w:p>
      <w:pPr>
        <w:numPr>
          <w:ilvl w:val="0"/>
          <w:numId w:val="10"/>
        </w:numPr>
        <w:spacing w:line="360" w:lineRule="auto"/>
        <w:rPr>
          <w:rFonts w:ascii="Times New Roman" w:hAnsi="Times New Roman"/>
          <w:kern w:val="0"/>
          <w:sz w:val="24"/>
        </w:rPr>
      </w:pPr>
      <w:r>
        <w:rPr>
          <w:rFonts w:hint="eastAsia" w:ascii="Times New Roman" w:hAnsi="Times New Roman"/>
          <w:kern w:val="0"/>
          <w:sz w:val="24"/>
        </w:rPr>
        <w:t>电源接入控制总开关</w:t>
      </w:r>
    </w:p>
    <w:p>
      <w:pPr>
        <w:numPr>
          <w:ilvl w:val="0"/>
          <w:numId w:val="10"/>
        </w:numPr>
        <w:spacing w:line="360" w:lineRule="auto"/>
        <w:rPr>
          <w:rFonts w:ascii="Times New Roman" w:hAnsi="Times New Roman"/>
          <w:kern w:val="0"/>
          <w:sz w:val="24"/>
        </w:rPr>
      </w:pPr>
      <w:r>
        <w:rPr>
          <w:rFonts w:ascii="Times New Roman" w:hAnsi="Times New Roman"/>
          <w:kern w:val="0"/>
          <w:sz w:val="24"/>
        </w:rPr>
        <w:t>单相电子电度表</w:t>
      </w:r>
    </w:p>
    <w:p>
      <w:pPr>
        <w:numPr>
          <w:ilvl w:val="0"/>
          <w:numId w:val="10"/>
        </w:numPr>
        <w:spacing w:line="360" w:lineRule="auto"/>
        <w:rPr>
          <w:rFonts w:ascii="Times New Roman" w:hAnsi="Times New Roman"/>
          <w:kern w:val="0"/>
          <w:sz w:val="24"/>
        </w:rPr>
      </w:pPr>
      <w:r>
        <w:rPr>
          <w:rFonts w:hint="eastAsia" w:ascii="Times New Roman" w:hAnsi="Times New Roman"/>
          <w:kern w:val="0"/>
          <w:sz w:val="24"/>
        </w:rPr>
        <w:t xml:space="preserve">配电箱 ( </w:t>
      </w:r>
      <w:r>
        <w:rPr>
          <w:rFonts w:hint="eastAsia" w:ascii="Times New Roman"/>
          <w:kern w:val="0"/>
          <w:sz w:val="24"/>
        </w:rPr>
        <w:t>交流电源总进线端子)</w:t>
      </w:r>
    </w:p>
    <w:p>
      <w:pPr>
        <w:numPr>
          <w:ilvl w:val="0"/>
          <w:numId w:val="10"/>
        </w:numPr>
        <w:spacing w:line="360" w:lineRule="auto"/>
        <w:rPr>
          <w:rFonts w:ascii="Times New Roman" w:hAnsi="Times New Roman"/>
          <w:kern w:val="0"/>
          <w:sz w:val="24"/>
        </w:rPr>
      </w:pPr>
      <w:r>
        <w:rPr>
          <w:rFonts w:hint="eastAsia" w:ascii="Times New Roman"/>
          <w:kern w:val="0"/>
          <w:sz w:val="24"/>
        </w:rPr>
        <w:t>大功率</w:t>
      </w:r>
      <w:r>
        <w:rPr>
          <w:rFonts w:ascii="Times New Roman"/>
          <w:kern w:val="0"/>
          <w:sz w:val="24"/>
        </w:rPr>
        <w:t>插</w:t>
      </w:r>
      <w:r>
        <w:rPr>
          <w:rFonts w:hint="eastAsia" w:ascii="Times New Roman"/>
          <w:kern w:val="0"/>
          <w:sz w:val="24"/>
        </w:rPr>
        <w:t>头(16A)</w:t>
      </w:r>
      <w:r>
        <w:rPr>
          <w:rFonts w:ascii="Times New Roman"/>
          <w:kern w:val="0"/>
          <w:sz w:val="24"/>
        </w:rPr>
        <w:t xml:space="preserve"> </w:t>
      </w:r>
      <w:r>
        <w:rPr>
          <w:rFonts w:hint="eastAsia" w:ascii="Times New Roman"/>
          <w:kern w:val="0"/>
          <w:sz w:val="24"/>
        </w:rPr>
        <w:t>及其开关、动力电缆( 不小于500mm，要求线缆可收入顶箱中)；</w:t>
      </w:r>
      <w:r>
        <w:rPr>
          <w:rFonts w:ascii="Times New Roman"/>
          <w:kern w:val="0"/>
          <w:sz w:val="24"/>
        </w:rPr>
        <w:t>插</w:t>
      </w:r>
      <w:r>
        <w:rPr>
          <w:rFonts w:hint="eastAsia" w:ascii="Times New Roman"/>
          <w:kern w:val="0"/>
          <w:sz w:val="24"/>
        </w:rPr>
        <w:t>头(10A)及其开关、动力电缆( 不小于500mm，要求线缆可收入顶箱中)。</w:t>
      </w:r>
    </w:p>
    <w:p>
      <w:pPr>
        <w:numPr>
          <w:ilvl w:val="0"/>
          <w:numId w:val="11"/>
        </w:numPr>
        <w:spacing w:line="360" w:lineRule="auto"/>
        <w:rPr>
          <w:rFonts w:ascii="Times New Roman"/>
          <w:sz w:val="24"/>
        </w:rPr>
      </w:pPr>
      <w:r>
        <w:rPr>
          <w:rFonts w:ascii="Times New Roman"/>
          <w:sz w:val="24"/>
        </w:rPr>
        <w:t>屏架</w:t>
      </w:r>
    </w:p>
    <w:p>
      <w:pPr>
        <w:numPr>
          <w:ilvl w:val="0"/>
          <w:numId w:val="12"/>
        </w:numPr>
        <w:spacing w:line="360" w:lineRule="auto"/>
        <w:rPr>
          <w:rFonts w:ascii="Times New Roman"/>
          <w:kern w:val="0"/>
          <w:sz w:val="24"/>
        </w:rPr>
      </w:pPr>
      <w:r>
        <w:rPr>
          <w:rFonts w:ascii="Times New Roman"/>
          <w:kern w:val="0"/>
          <w:sz w:val="24"/>
        </w:rPr>
        <w:t>操作</w:t>
      </w:r>
      <w:r>
        <w:rPr>
          <w:rFonts w:ascii="Times New Roman"/>
          <w:sz w:val="24"/>
        </w:rPr>
        <w:t>屏架</w:t>
      </w:r>
      <w:r>
        <w:rPr>
          <w:rFonts w:hint="eastAsia" w:ascii="Times New Roman"/>
          <w:sz w:val="24"/>
        </w:rPr>
        <w:t>材料牢固</w:t>
      </w:r>
    </w:p>
    <w:p>
      <w:pPr>
        <w:spacing w:line="360" w:lineRule="auto"/>
        <w:ind w:left="840" w:leftChars="400" w:firstLine="480" w:firstLineChars="200"/>
        <w:rPr>
          <w:rFonts w:ascii="Times New Roman"/>
          <w:sz w:val="24"/>
        </w:rPr>
      </w:pPr>
      <w:r>
        <w:rPr>
          <w:rFonts w:ascii="Times New Roman"/>
          <w:kern w:val="0"/>
          <w:sz w:val="24"/>
        </w:rPr>
        <w:t>操作</w:t>
      </w:r>
      <w:r>
        <w:rPr>
          <w:rFonts w:ascii="Times New Roman"/>
          <w:sz w:val="24"/>
        </w:rPr>
        <w:t>屏架</w:t>
      </w:r>
      <w:r>
        <w:rPr>
          <w:rFonts w:hint="eastAsia" w:ascii="Times New Roman"/>
          <w:sz w:val="24"/>
        </w:rPr>
        <w:t>应能保证强度。材料厚度不小于4mm。</w:t>
      </w:r>
      <w:r>
        <w:rPr>
          <w:rFonts w:hint="eastAsia" w:ascii="Times New Roman"/>
          <w:kern w:val="0"/>
          <w:sz w:val="24"/>
        </w:rPr>
        <w:t>正反两面均可</w:t>
      </w:r>
      <w:r>
        <w:rPr>
          <w:rFonts w:hint="eastAsia" w:ascii="Times New Roman"/>
          <w:sz w:val="24"/>
        </w:rPr>
        <w:t>挂载网孔板。挂载时，网孔板四周应能与</w:t>
      </w:r>
      <w:r>
        <w:rPr>
          <w:rFonts w:ascii="Times New Roman"/>
          <w:kern w:val="0"/>
          <w:sz w:val="24"/>
        </w:rPr>
        <w:t>操作</w:t>
      </w:r>
      <w:r>
        <w:rPr>
          <w:rFonts w:ascii="Times New Roman"/>
          <w:sz w:val="24"/>
        </w:rPr>
        <w:t>屏架</w:t>
      </w:r>
      <w:r>
        <w:rPr>
          <w:rFonts w:hint="eastAsia" w:ascii="Times New Roman"/>
          <w:sz w:val="24"/>
        </w:rPr>
        <w:t>紧贴、牢固锁紧、连接。</w:t>
      </w:r>
    </w:p>
    <w:p>
      <w:pPr>
        <w:numPr>
          <w:ilvl w:val="0"/>
          <w:numId w:val="12"/>
        </w:numPr>
        <w:spacing w:line="360" w:lineRule="auto"/>
        <w:rPr>
          <w:rFonts w:ascii="Times New Roman"/>
          <w:kern w:val="0"/>
          <w:sz w:val="24"/>
        </w:rPr>
      </w:pPr>
      <w:r>
        <w:rPr>
          <w:rFonts w:ascii="Times New Roman"/>
          <w:kern w:val="0"/>
          <w:sz w:val="24"/>
        </w:rPr>
        <w:t>操作</w:t>
      </w:r>
      <w:r>
        <w:rPr>
          <w:rFonts w:ascii="Times New Roman"/>
          <w:sz w:val="24"/>
        </w:rPr>
        <w:t>屏架</w:t>
      </w:r>
      <w:r>
        <w:rPr>
          <w:rFonts w:hint="eastAsia" w:ascii="Times New Roman"/>
          <w:kern w:val="0"/>
          <w:sz w:val="24"/>
        </w:rPr>
        <w:t>有效操作面积不小于1600X800mm。</w:t>
      </w:r>
    </w:p>
    <w:p>
      <w:pPr>
        <w:numPr>
          <w:ilvl w:val="0"/>
          <w:numId w:val="12"/>
        </w:numPr>
        <w:spacing w:line="360" w:lineRule="auto"/>
        <w:rPr>
          <w:rFonts w:ascii="Times New Roman"/>
          <w:kern w:val="0"/>
          <w:sz w:val="24"/>
        </w:rPr>
      </w:pPr>
      <w:r>
        <w:rPr>
          <w:rFonts w:hint="eastAsia" w:ascii="Times New Roman"/>
          <w:sz w:val="24"/>
        </w:rPr>
        <w:t>可挂载4块</w:t>
      </w:r>
      <w:r>
        <w:rPr>
          <w:rFonts w:ascii="Times New Roman"/>
          <w:kern w:val="0"/>
          <w:sz w:val="24"/>
        </w:rPr>
        <w:t>网孔板</w:t>
      </w:r>
      <w:r>
        <w:rPr>
          <w:rFonts w:hint="eastAsia" w:ascii="Times New Roman"/>
          <w:kern w:val="0"/>
          <w:sz w:val="24"/>
        </w:rPr>
        <w:t>(正反两面，每面上下挂载2块)</w:t>
      </w:r>
    </w:p>
    <w:p>
      <w:pPr>
        <w:numPr>
          <w:ilvl w:val="0"/>
          <w:numId w:val="12"/>
        </w:numPr>
        <w:spacing w:line="360" w:lineRule="auto"/>
        <w:rPr>
          <w:rFonts w:ascii="Times New Roman"/>
          <w:kern w:val="0"/>
          <w:sz w:val="24"/>
        </w:rPr>
      </w:pPr>
      <w:r>
        <w:rPr>
          <w:rFonts w:ascii="Times New Roman"/>
          <w:kern w:val="0"/>
          <w:sz w:val="24"/>
        </w:rPr>
        <w:t>网孔板</w:t>
      </w:r>
      <w:r>
        <w:rPr>
          <w:rFonts w:hint="eastAsia" w:ascii="Times New Roman"/>
          <w:kern w:val="0"/>
          <w:sz w:val="24"/>
        </w:rPr>
        <w:t>安装固定要求：能与</w:t>
      </w:r>
      <w:r>
        <w:rPr>
          <w:rFonts w:ascii="Times New Roman"/>
          <w:kern w:val="0"/>
          <w:sz w:val="24"/>
        </w:rPr>
        <w:t>实验操作</w:t>
      </w:r>
      <w:r>
        <w:rPr>
          <w:rFonts w:ascii="Times New Roman"/>
          <w:sz w:val="24"/>
        </w:rPr>
        <w:t>屏架</w:t>
      </w:r>
      <w:r>
        <w:rPr>
          <w:rFonts w:hint="eastAsia" w:ascii="Times New Roman"/>
          <w:kern w:val="0"/>
          <w:sz w:val="24"/>
        </w:rPr>
        <w:t>紧固配合，可靠安装</w:t>
      </w:r>
    </w:p>
    <w:p>
      <w:pPr>
        <w:spacing w:line="360" w:lineRule="auto"/>
        <w:ind w:left="1260" w:firstLine="420"/>
        <w:rPr>
          <w:rFonts w:ascii="Times New Roman"/>
          <w:b/>
          <w:kern w:val="0"/>
          <w:sz w:val="24"/>
        </w:rPr>
      </w:pPr>
      <w:r>
        <w:rPr>
          <w:rFonts w:hint="eastAsia" w:ascii="Times New Roman"/>
          <w:b/>
          <w:kern w:val="0"/>
          <w:sz w:val="24"/>
        </w:rPr>
        <w:t>要求安装于</w:t>
      </w:r>
      <w:r>
        <w:rPr>
          <w:rFonts w:ascii="Times New Roman"/>
          <w:b/>
          <w:kern w:val="0"/>
          <w:sz w:val="24"/>
        </w:rPr>
        <w:t>操作</w:t>
      </w:r>
      <w:r>
        <w:rPr>
          <w:rFonts w:ascii="Times New Roman"/>
          <w:b/>
          <w:sz w:val="24"/>
        </w:rPr>
        <w:t>屏架</w:t>
      </w:r>
      <w:r>
        <w:rPr>
          <w:rFonts w:hint="eastAsia" w:ascii="Times New Roman"/>
          <w:b/>
          <w:sz w:val="24"/>
        </w:rPr>
        <w:t>的网孔板</w:t>
      </w:r>
      <w:r>
        <w:rPr>
          <w:rFonts w:hint="eastAsia" w:ascii="Times New Roman"/>
          <w:b/>
          <w:kern w:val="0"/>
          <w:sz w:val="24"/>
        </w:rPr>
        <w:t>可更换</w:t>
      </w:r>
    </w:p>
    <w:p>
      <w:pPr>
        <w:spacing w:line="360" w:lineRule="auto"/>
        <w:ind w:left="1260" w:firstLine="420"/>
        <w:rPr>
          <w:rFonts w:ascii="Times New Roman"/>
          <w:kern w:val="0"/>
          <w:sz w:val="24"/>
        </w:rPr>
      </w:pPr>
      <w:r>
        <w:rPr>
          <w:rFonts w:hint="eastAsia" w:ascii="Times New Roman"/>
          <w:kern w:val="0"/>
          <w:sz w:val="24"/>
        </w:rPr>
        <w:t>同一面两块</w:t>
      </w:r>
      <w:r>
        <w:rPr>
          <w:rFonts w:ascii="Times New Roman"/>
          <w:kern w:val="0"/>
          <w:sz w:val="24"/>
        </w:rPr>
        <w:t>网孔板</w:t>
      </w:r>
      <w:r>
        <w:rPr>
          <w:rFonts w:hint="eastAsia" w:ascii="Times New Roman"/>
          <w:kern w:val="0"/>
          <w:sz w:val="24"/>
        </w:rPr>
        <w:t>无高度差</w:t>
      </w:r>
    </w:p>
    <w:p>
      <w:pPr>
        <w:spacing w:line="360" w:lineRule="auto"/>
        <w:ind w:left="1260" w:firstLine="420"/>
        <w:rPr>
          <w:rFonts w:ascii="Times New Roman"/>
          <w:kern w:val="0"/>
          <w:sz w:val="24"/>
        </w:rPr>
      </w:pPr>
      <w:r>
        <w:rPr>
          <w:rFonts w:hint="eastAsia" w:ascii="Times New Roman"/>
          <w:kern w:val="0"/>
          <w:sz w:val="24"/>
        </w:rPr>
        <w:t>同一面两块</w:t>
      </w:r>
      <w:r>
        <w:rPr>
          <w:rFonts w:ascii="Times New Roman"/>
          <w:kern w:val="0"/>
          <w:sz w:val="24"/>
        </w:rPr>
        <w:t>网孔板</w:t>
      </w:r>
      <w:r>
        <w:rPr>
          <w:rFonts w:hint="eastAsia" w:ascii="Times New Roman"/>
          <w:kern w:val="0"/>
          <w:sz w:val="24"/>
        </w:rPr>
        <w:t>上下间隙不超过20mm</w:t>
      </w:r>
    </w:p>
    <w:p>
      <w:pPr>
        <w:numPr>
          <w:ilvl w:val="0"/>
          <w:numId w:val="11"/>
        </w:numPr>
        <w:spacing w:line="360" w:lineRule="auto"/>
        <w:rPr>
          <w:rFonts w:ascii="Times New Roman"/>
          <w:sz w:val="24"/>
        </w:rPr>
      </w:pPr>
      <w:r>
        <w:rPr>
          <w:rFonts w:hint="eastAsia" w:ascii="Times New Roman"/>
          <w:sz w:val="24"/>
        </w:rPr>
        <w:t>网孔板</w:t>
      </w:r>
    </w:p>
    <w:p>
      <w:pPr>
        <w:numPr>
          <w:ilvl w:val="1"/>
          <w:numId w:val="11"/>
        </w:numPr>
        <w:spacing w:line="360" w:lineRule="auto"/>
        <w:rPr>
          <w:rFonts w:ascii="Times New Roman"/>
          <w:sz w:val="24"/>
        </w:rPr>
      </w:pPr>
      <w:r>
        <w:rPr>
          <w:rFonts w:ascii="Times New Roman"/>
          <w:sz w:val="24"/>
        </w:rPr>
        <w:t>基础电工</w:t>
      </w:r>
      <w:r>
        <w:rPr>
          <w:rFonts w:ascii="Times New Roman"/>
          <w:kern w:val="0"/>
          <w:sz w:val="24"/>
        </w:rPr>
        <w:t>实验</w:t>
      </w:r>
      <w:r>
        <w:rPr>
          <w:rFonts w:hint="eastAsia" w:ascii="Times New Roman"/>
          <w:kern w:val="0"/>
          <w:sz w:val="24"/>
        </w:rPr>
        <w:t>主要</w:t>
      </w:r>
      <w:r>
        <w:rPr>
          <w:rFonts w:ascii="Times New Roman"/>
          <w:kern w:val="0"/>
          <w:sz w:val="24"/>
        </w:rPr>
        <w:t>操作</w:t>
      </w:r>
      <w:r>
        <w:rPr>
          <w:rFonts w:hint="eastAsia" w:ascii="Times New Roman"/>
          <w:kern w:val="0"/>
          <w:sz w:val="24"/>
        </w:rPr>
        <w:t>区域</w:t>
      </w:r>
    </w:p>
    <w:p>
      <w:pPr>
        <w:numPr>
          <w:ilvl w:val="1"/>
          <w:numId w:val="11"/>
        </w:numPr>
        <w:spacing w:line="360" w:lineRule="auto"/>
        <w:rPr>
          <w:rFonts w:ascii="Times New Roman"/>
          <w:sz w:val="24"/>
        </w:rPr>
      </w:pPr>
      <w:r>
        <w:rPr>
          <w:rFonts w:hint="eastAsia" w:ascii="Times New Roman"/>
          <w:kern w:val="0"/>
          <w:sz w:val="24"/>
        </w:rPr>
        <w:t>网孔板平整、四边平整；表面光滑、无毛刺。</w:t>
      </w:r>
    </w:p>
    <w:p>
      <w:pPr>
        <w:numPr>
          <w:ilvl w:val="1"/>
          <w:numId w:val="11"/>
        </w:numPr>
        <w:spacing w:line="360" w:lineRule="auto"/>
        <w:rPr>
          <w:rFonts w:ascii="Times New Roman"/>
          <w:sz w:val="24"/>
        </w:rPr>
      </w:pPr>
      <w:r>
        <w:rPr>
          <w:rFonts w:hint="eastAsia" w:ascii="Times New Roman"/>
          <w:kern w:val="0"/>
          <w:sz w:val="24"/>
        </w:rPr>
        <w:t>网孔板可采用</w:t>
      </w:r>
      <w:r>
        <w:rPr>
          <w:rFonts w:ascii="Times New Roman" w:hAnsi="Times New Roman"/>
          <w:kern w:val="0"/>
          <w:sz w:val="24"/>
        </w:rPr>
        <w:t>自攻相扣</w:t>
      </w:r>
      <w:r>
        <w:rPr>
          <w:rFonts w:hint="eastAsia" w:ascii="Times New Roman" w:hAnsi="Times New Roman"/>
          <w:kern w:val="0"/>
          <w:sz w:val="24"/>
        </w:rPr>
        <w:t>安装相关组件(明/暗盒、导线等)</w:t>
      </w:r>
    </w:p>
    <w:p>
      <w:pPr>
        <w:numPr>
          <w:ilvl w:val="0"/>
          <w:numId w:val="11"/>
        </w:numPr>
        <w:spacing w:line="360" w:lineRule="auto"/>
        <w:rPr>
          <w:rFonts w:ascii="Times New Roman"/>
          <w:sz w:val="24"/>
        </w:rPr>
      </w:pPr>
      <w:r>
        <w:rPr>
          <w:rFonts w:hint="eastAsia" w:ascii="Times New Roman"/>
          <w:sz w:val="24"/>
        </w:rPr>
        <w:t>底座</w:t>
      </w:r>
    </w:p>
    <w:p>
      <w:pPr>
        <w:numPr>
          <w:ilvl w:val="0"/>
          <w:numId w:val="13"/>
        </w:numPr>
        <w:spacing w:line="360" w:lineRule="auto"/>
        <w:rPr>
          <w:rFonts w:ascii="Times New Roman"/>
          <w:sz w:val="24"/>
        </w:rPr>
      </w:pPr>
      <w:r>
        <w:rPr>
          <w:rFonts w:hint="eastAsia" w:ascii="Times New Roman"/>
          <w:sz w:val="24"/>
        </w:rPr>
        <w:t>底座材料牢固</w:t>
      </w:r>
    </w:p>
    <w:p>
      <w:pPr>
        <w:numPr>
          <w:ilvl w:val="0"/>
          <w:numId w:val="13"/>
        </w:numPr>
        <w:spacing w:line="360" w:lineRule="auto"/>
        <w:rPr>
          <w:rFonts w:ascii="Times New Roman"/>
          <w:sz w:val="24"/>
        </w:rPr>
      </w:pPr>
      <w:r>
        <w:rPr>
          <w:rFonts w:ascii="Times New Roman"/>
          <w:kern w:val="0"/>
          <w:sz w:val="24"/>
        </w:rPr>
        <w:t>配有</w:t>
      </w:r>
      <w:r>
        <w:rPr>
          <w:rFonts w:hint="eastAsia"/>
          <w:kern w:val="0"/>
          <w:sz w:val="24"/>
        </w:rPr>
        <w:t>自由轮刹车结构</w:t>
      </w:r>
    </w:p>
    <w:p>
      <w:pPr>
        <w:spacing w:line="360" w:lineRule="auto"/>
        <w:rPr>
          <w:rFonts w:ascii="Times New Roman"/>
          <w:kern w:val="0"/>
          <w:sz w:val="24"/>
        </w:rPr>
      </w:pPr>
      <w:r>
        <w:rPr>
          <w:rFonts w:hint="eastAsia" w:ascii="Times New Roman"/>
          <w:sz w:val="24"/>
        </w:rPr>
        <w:t>5）接地</w:t>
      </w:r>
    </w:p>
    <w:p>
      <w:pPr>
        <w:spacing w:line="360" w:lineRule="auto"/>
        <w:ind w:left="420"/>
        <w:rPr>
          <w:rFonts w:ascii="Times New Roman"/>
          <w:sz w:val="24"/>
        </w:rPr>
      </w:pPr>
      <w:r>
        <w:rPr>
          <w:rFonts w:hint="eastAsia" w:ascii="Times New Roman"/>
          <w:sz w:val="24"/>
        </w:rPr>
        <w:t>提供至少可靠接地点不少于2处</w:t>
      </w:r>
      <w:r>
        <w:rPr>
          <w:rFonts w:ascii="Times New Roman"/>
          <w:kern w:val="0"/>
          <w:sz w:val="24"/>
        </w:rPr>
        <w:t>。</w:t>
      </w:r>
    </w:p>
    <w:p>
      <w:pPr>
        <w:numPr>
          <w:ilvl w:val="1"/>
          <w:numId w:val="14"/>
        </w:numPr>
        <w:spacing w:line="360" w:lineRule="auto"/>
        <w:rPr>
          <w:rFonts w:ascii="Times New Roman" w:hAnsi="Times New Roman"/>
          <w:bCs/>
          <w:sz w:val="24"/>
        </w:rPr>
      </w:pPr>
      <w:r>
        <w:rPr>
          <w:rFonts w:hint="eastAsia" w:ascii="Times New Roman"/>
          <w:bCs/>
          <w:sz w:val="24"/>
        </w:rPr>
        <w:t>可选系统设备</w:t>
      </w:r>
      <w:r>
        <w:rPr>
          <w:rFonts w:ascii="Times New Roman"/>
          <w:bCs/>
          <w:sz w:val="24"/>
        </w:rPr>
        <w:t>硬件</w:t>
      </w:r>
    </w:p>
    <w:p>
      <w:pPr>
        <w:numPr>
          <w:ilvl w:val="2"/>
          <w:numId w:val="14"/>
        </w:numPr>
        <w:rPr>
          <w:rFonts w:ascii="Times New Roman"/>
          <w:sz w:val="24"/>
        </w:rPr>
      </w:pPr>
      <w:r>
        <w:rPr>
          <w:rFonts w:hint="eastAsia" w:ascii="Times New Roman"/>
          <w:sz w:val="24"/>
        </w:rPr>
        <w:t>谈判方根据系统所提供配套的</w:t>
      </w:r>
      <w:r>
        <w:rPr>
          <w:rFonts w:hint="eastAsia" w:ascii="Times New Roman" w:hAnsi="Times New Roman"/>
          <w:bCs/>
          <w:sz w:val="24"/>
        </w:rPr>
        <w:t>实验课件、实验指导书，提供</w:t>
      </w:r>
      <w:r>
        <w:rPr>
          <w:rFonts w:hint="eastAsia" w:ascii="Times New Roman"/>
          <w:sz w:val="24"/>
        </w:rPr>
        <w:t>可选组件、器材清单、单套数量、和单价，供评标时参考。</w:t>
      </w:r>
    </w:p>
    <w:p>
      <w:pPr>
        <w:numPr>
          <w:ilvl w:val="2"/>
          <w:numId w:val="14"/>
        </w:numPr>
        <w:rPr>
          <w:rFonts w:ascii="Times New Roman"/>
          <w:sz w:val="24"/>
        </w:rPr>
      </w:pPr>
      <w:r>
        <w:rPr>
          <w:rFonts w:hint="eastAsia" w:ascii="Times New Roman"/>
          <w:sz w:val="24"/>
        </w:rPr>
        <w:t>提供基础电工所提供配套的</w:t>
      </w:r>
      <w:r>
        <w:rPr>
          <w:rFonts w:hint="eastAsia" w:ascii="Times New Roman" w:hAnsi="Times New Roman"/>
          <w:bCs/>
          <w:sz w:val="24"/>
        </w:rPr>
        <w:t>实验课件、实验指导书，提供</w:t>
      </w:r>
      <w:r>
        <w:rPr>
          <w:rFonts w:hint="eastAsia" w:ascii="Times New Roman"/>
          <w:sz w:val="24"/>
        </w:rPr>
        <w:t>可选组件、器材清单、单套数量、和单价，供评标时参考。</w:t>
      </w:r>
    </w:p>
    <w:p>
      <w:pPr>
        <w:numPr>
          <w:ilvl w:val="2"/>
          <w:numId w:val="14"/>
        </w:numPr>
        <w:rPr>
          <w:rFonts w:ascii="Times New Roman"/>
          <w:sz w:val="24"/>
        </w:rPr>
      </w:pPr>
      <w:r>
        <w:rPr>
          <w:rFonts w:hint="eastAsia" w:ascii="Times New Roman"/>
          <w:sz w:val="24"/>
        </w:rPr>
        <w:t>提供维修电工所提供配套的</w:t>
      </w:r>
      <w:r>
        <w:rPr>
          <w:rFonts w:hint="eastAsia" w:ascii="Times New Roman" w:hAnsi="Times New Roman"/>
          <w:bCs/>
          <w:sz w:val="24"/>
        </w:rPr>
        <w:t>实验课件、实验指导书，提供</w:t>
      </w:r>
      <w:r>
        <w:rPr>
          <w:rFonts w:hint="eastAsia" w:ascii="Times New Roman"/>
          <w:sz w:val="24"/>
        </w:rPr>
        <w:t>可选组件、器材清单、单套数量、和单价，供评标时参考。</w:t>
      </w:r>
    </w:p>
    <w:p>
      <w:pPr>
        <w:numPr>
          <w:ilvl w:val="2"/>
          <w:numId w:val="14"/>
        </w:numPr>
        <w:rPr>
          <w:rFonts w:ascii="Times New Roman"/>
          <w:sz w:val="24"/>
        </w:rPr>
      </w:pPr>
      <w:r>
        <w:rPr>
          <w:rFonts w:hint="eastAsia" w:ascii="Times New Roman"/>
          <w:bCs/>
          <w:sz w:val="24"/>
        </w:rPr>
        <w:t>实训</w:t>
      </w:r>
      <w:r>
        <w:rPr>
          <w:rFonts w:ascii="Times New Roman"/>
          <w:bCs/>
          <w:sz w:val="24"/>
        </w:rPr>
        <w:t>实验仿真</w:t>
      </w:r>
      <w:r>
        <w:rPr>
          <w:rFonts w:hint="eastAsia" w:ascii="Times New Roman"/>
          <w:bCs/>
          <w:sz w:val="24"/>
        </w:rPr>
        <w:t>教学软件、视频</w:t>
      </w:r>
    </w:p>
    <w:p>
      <w:pPr>
        <w:numPr>
          <w:ilvl w:val="0"/>
          <w:numId w:val="15"/>
        </w:numPr>
        <w:spacing w:line="360" w:lineRule="auto"/>
        <w:rPr>
          <w:rFonts w:ascii="Times New Roman" w:hAnsi="Times New Roman"/>
          <w:kern w:val="0"/>
          <w:sz w:val="24"/>
        </w:rPr>
      </w:pPr>
      <w:r>
        <w:rPr>
          <w:rFonts w:hint="eastAsia" w:ascii="Times New Roman"/>
          <w:sz w:val="24"/>
        </w:rPr>
        <w:t>提供基础电工教学视频。</w:t>
      </w:r>
    </w:p>
    <w:p>
      <w:pPr>
        <w:numPr>
          <w:ilvl w:val="0"/>
          <w:numId w:val="15"/>
        </w:numPr>
        <w:spacing w:line="360" w:lineRule="auto"/>
        <w:rPr>
          <w:rFonts w:ascii="Times New Roman" w:hAnsi="Times New Roman"/>
          <w:kern w:val="0"/>
          <w:sz w:val="24"/>
        </w:rPr>
      </w:pPr>
      <w:r>
        <w:rPr>
          <w:rFonts w:hint="eastAsia" w:ascii="Times New Roman"/>
          <w:bCs/>
          <w:sz w:val="24"/>
        </w:rPr>
        <w:t>提供</w:t>
      </w:r>
      <w:r>
        <w:rPr>
          <w:rFonts w:ascii="Times New Roman"/>
          <w:bCs/>
          <w:sz w:val="24"/>
        </w:rPr>
        <w:t>基础电工开设的实验仿真</w:t>
      </w:r>
      <w:r>
        <w:rPr>
          <w:rFonts w:hint="eastAsia" w:ascii="Times New Roman"/>
          <w:bCs/>
          <w:sz w:val="24"/>
        </w:rPr>
        <w:t>。</w:t>
      </w:r>
    </w:p>
    <w:p>
      <w:pPr>
        <w:spacing w:line="360" w:lineRule="auto"/>
        <w:ind w:left="420"/>
        <w:rPr>
          <w:rFonts w:ascii="Times New Roman" w:hAnsi="Times New Roman"/>
          <w:kern w:val="0"/>
          <w:sz w:val="24"/>
        </w:rPr>
      </w:pPr>
    </w:p>
    <w:p>
      <w:pPr>
        <w:numPr>
          <w:ilvl w:val="0"/>
          <w:numId w:val="1"/>
        </w:numPr>
        <w:spacing w:line="360" w:lineRule="auto"/>
        <w:ind w:hanging="1047"/>
        <w:rPr>
          <w:rFonts w:ascii="Times New Roman" w:hAnsi="Times New Roman"/>
          <w:b/>
          <w:bCs/>
          <w:sz w:val="28"/>
          <w:szCs w:val="28"/>
        </w:rPr>
      </w:pPr>
      <w:r>
        <w:rPr>
          <w:rFonts w:hint="eastAsia" w:ascii="Times New Roman" w:hAnsi="Times New Roman"/>
          <w:b/>
          <w:bCs/>
          <w:sz w:val="28"/>
          <w:szCs w:val="28"/>
        </w:rPr>
        <w:t>实验课件、实验指导书</w:t>
      </w:r>
    </w:p>
    <w:p>
      <w:pPr>
        <w:spacing w:line="360" w:lineRule="auto"/>
        <w:ind w:firstLine="420"/>
        <w:rPr>
          <w:rFonts w:ascii="Times New Roman" w:hAnsi="Times New Roman"/>
          <w:bCs/>
          <w:sz w:val="24"/>
        </w:rPr>
      </w:pPr>
      <w:r>
        <w:rPr>
          <w:rFonts w:hint="eastAsia" w:ascii="Times New Roman"/>
          <w:sz w:val="24"/>
        </w:rPr>
        <w:t>项目提供包含但不仅限于以下</w:t>
      </w:r>
      <w:r>
        <w:rPr>
          <w:rFonts w:ascii="Times New Roman"/>
          <w:bCs/>
          <w:sz w:val="24"/>
        </w:rPr>
        <w:t>实验内容：</w:t>
      </w:r>
    </w:p>
    <w:p>
      <w:pPr>
        <w:numPr>
          <w:ilvl w:val="0"/>
          <w:numId w:val="16"/>
        </w:numPr>
        <w:spacing w:line="360" w:lineRule="auto"/>
        <w:rPr>
          <w:rFonts w:ascii="Times New Roman" w:hAnsi="Times New Roman"/>
          <w:bCs/>
          <w:sz w:val="24"/>
        </w:rPr>
      </w:pPr>
      <w:r>
        <w:rPr>
          <w:rFonts w:ascii="Times New Roman"/>
          <w:bCs/>
          <w:sz w:val="24"/>
        </w:rPr>
        <w:t>单相电度表安装</w:t>
      </w:r>
    </w:p>
    <w:p>
      <w:pPr>
        <w:numPr>
          <w:ilvl w:val="0"/>
          <w:numId w:val="16"/>
        </w:numPr>
        <w:spacing w:line="360" w:lineRule="auto"/>
        <w:rPr>
          <w:rFonts w:ascii="Times New Roman" w:hAnsi="Times New Roman"/>
          <w:bCs/>
          <w:sz w:val="24"/>
        </w:rPr>
      </w:pPr>
      <w:r>
        <w:rPr>
          <w:rFonts w:ascii="Times New Roman"/>
          <w:bCs/>
          <w:sz w:val="24"/>
        </w:rPr>
        <w:t>白炽灯控制</w:t>
      </w:r>
    </w:p>
    <w:p>
      <w:pPr>
        <w:numPr>
          <w:ilvl w:val="0"/>
          <w:numId w:val="16"/>
        </w:numPr>
        <w:spacing w:line="360" w:lineRule="auto"/>
        <w:rPr>
          <w:rFonts w:ascii="Times New Roman" w:hAnsi="Times New Roman"/>
          <w:bCs/>
          <w:sz w:val="24"/>
        </w:rPr>
      </w:pPr>
      <w:r>
        <w:rPr>
          <w:rFonts w:ascii="Times New Roman"/>
          <w:bCs/>
          <w:sz w:val="24"/>
        </w:rPr>
        <w:t>日光灯控制</w:t>
      </w:r>
    </w:p>
    <w:p>
      <w:pPr>
        <w:numPr>
          <w:ilvl w:val="0"/>
          <w:numId w:val="16"/>
        </w:numPr>
        <w:spacing w:line="360" w:lineRule="auto"/>
        <w:rPr>
          <w:rFonts w:ascii="Times New Roman" w:hAnsi="Times New Roman"/>
          <w:bCs/>
          <w:sz w:val="24"/>
        </w:rPr>
      </w:pPr>
      <w:r>
        <w:rPr>
          <w:rFonts w:ascii="Times New Roman"/>
          <w:bCs/>
          <w:sz w:val="24"/>
        </w:rPr>
        <w:t>声控开关控制楼梯白炽灯</w:t>
      </w:r>
      <w:r>
        <w:rPr>
          <w:rFonts w:hint="eastAsia" w:ascii="Times New Roman"/>
          <w:bCs/>
          <w:sz w:val="24"/>
        </w:rPr>
        <w:t>安装</w:t>
      </w:r>
    </w:p>
    <w:p>
      <w:pPr>
        <w:numPr>
          <w:ilvl w:val="0"/>
          <w:numId w:val="16"/>
        </w:numPr>
        <w:spacing w:line="360" w:lineRule="auto"/>
        <w:rPr>
          <w:rFonts w:ascii="Times New Roman" w:hAnsi="Times New Roman"/>
          <w:bCs/>
          <w:sz w:val="24"/>
        </w:rPr>
      </w:pPr>
      <w:r>
        <w:rPr>
          <w:rFonts w:hint="eastAsia" w:ascii="Times New Roman"/>
          <w:bCs/>
          <w:sz w:val="24"/>
        </w:rPr>
        <w:t>插座安装</w:t>
      </w:r>
    </w:p>
    <w:p>
      <w:pPr>
        <w:numPr>
          <w:ilvl w:val="0"/>
          <w:numId w:val="16"/>
        </w:numPr>
        <w:spacing w:line="360" w:lineRule="auto"/>
        <w:rPr>
          <w:rFonts w:ascii="Times New Roman" w:hAnsi="Times New Roman"/>
          <w:bCs/>
          <w:sz w:val="24"/>
        </w:rPr>
      </w:pPr>
      <w:r>
        <w:rPr>
          <w:rFonts w:hint="eastAsia" w:ascii="Times New Roman" w:hAnsi="Times New Roman"/>
          <w:bCs/>
          <w:sz w:val="24"/>
        </w:rPr>
        <w:t>多控开关设计安装</w:t>
      </w:r>
    </w:p>
    <w:p>
      <w:pPr>
        <w:numPr>
          <w:ilvl w:val="0"/>
          <w:numId w:val="16"/>
        </w:numPr>
        <w:spacing w:line="360" w:lineRule="auto"/>
        <w:rPr>
          <w:rFonts w:ascii="Times New Roman" w:hAnsi="Times New Roman"/>
          <w:bCs/>
          <w:sz w:val="24"/>
        </w:rPr>
      </w:pPr>
      <w:r>
        <w:rPr>
          <w:rFonts w:hint="eastAsia" w:ascii="Times New Roman"/>
          <w:bCs/>
          <w:sz w:val="24"/>
        </w:rPr>
        <w:t>网线安装及水晶头制作</w:t>
      </w:r>
    </w:p>
    <w:p>
      <w:pPr>
        <w:numPr>
          <w:ilvl w:val="0"/>
          <w:numId w:val="16"/>
        </w:numPr>
        <w:spacing w:line="360" w:lineRule="auto"/>
        <w:rPr>
          <w:rFonts w:ascii="Times New Roman" w:hAnsi="Times New Roman"/>
          <w:bCs/>
          <w:sz w:val="24"/>
        </w:rPr>
      </w:pPr>
      <w:r>
        <w:rPr>
          <w:rFonts w:hint="eastAsia" w:ascii="Times New Roman" w:hAnsi="Times New Roman"/>
          <w:bCs/>
          <w:sz w:val="24"/>
        </w:rPr>
        <w:t>大功率电器(空调器)线路线径计算与安装</w:t>
      </w:r>
    </w:p>
    <w:p>
      <w:pPr>
        <w:numPr>
          <w:ilvl w:val="0"/>
          <w:numId w:val="16"/>
        </w:numPr>
        <w:spacing w:line="360" w:lineRule="auto"/>
        <w:rPr>
          <w:rFonts w:ascii="Times New Roman" w:hAnsi="Times New Roman"/>
          <w:bCs/>
          <w:sz w:val="24"/>
        </w:rPr>
      </w:pPr>
      <w:r>
        <w:rPr>
          <w:rFonts w:hint="eastAsia" w:ascii="Times New Roman"/>
          <w:bCs/>
          <w:sz w:val="24"/>
        </w:rPr>
        <w:t>家庭综合布线</w:t>
      </w:r>
    </w:p>
    <w:p>
      <w:pPr>
        <w:ind w:left="1557"/>
        <w:rPr>
          <w:rFonts w:ascii="Times New Roman"/>
          <w:b/>
          <w:sz w:val="28"/>
          <w:szCs w:val="28"/>
          <w:highlight w:val="lightGray"/>
        </w:rPr>
        <w:sectPr>
          <w:headerReference r:id="rId3" w:type="default"/>
          <w:pgSz w:w="11907" w:h="16840"/>
          <w:pgMar w:top="1440" w:right="1797" w:bottom="1440" w:left="1848" w:header="851" w:footer="992" w:gutter="567"/>
          <w:cols w:space="720" w:num="1"/>
          <w:docGrid w:type="lines" w:linePitch="286" w:charSpace="10"/>
        </w:sectPr>
      </w:pPr>
    </w:p>
    <w:p>
      <w:pPr>
        <w:ind w:left="1557"/>
        <w:jc w:val="center"/>
        <w:rPr>
          <w:rFonts w:ascii="Times New Roman"/>
          <w:b/>
          <w:sz w:val="28"/>
          <w:szCs w:val="28"/>
        </w:rPr>
      </w:pPr>
      <w:r>
        <w:rPr>
          <w:rFonts w:ascii="Times New Roman"/>
          <w:b/>
          <w:sz w:val="28"/>
          <w:szCs w:val="28"/>
        </w:rPr>
        <w:t>电工实训实验室</w:t>
      </w:r>
      <w:r>
        <w:rPr>
          <w:rFonts w:hint="eastAsia" w:ascii="Times New Roman"/>
          <w:b/>
          <w:sz w:val="28"/>
          <w:szCs w:val="28"/>
        </w:rPr>
        <w:t>基础电工实验系统及相关配套设备采购清单</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2391"/>
        <w:gridCol w:w="2025"/>
        <w:gridCol w:w="559"/>
        <w:gridCol w:w="60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pPr>
              <w:spacing w:line="300" w:lineRule="exact"/>
              <w:jc w:val="center"/>
              <w:rPr>
                <w:rFonts w:ascii="Times New Roman" w:hAnsi="Calibri" w:eastAsia="宋体" w:cs="Times New Roman"/>
                <w:b/>
                <w:kern w:val="0"/>
                <w:sz w:val="24"/>
                <w:szCs w:val="20"/>
              </w:rPr>
            </w:pPr>
            <w:r>
              <w:rPr>
                <w:rFonts w:hint="eastAsia" w:ascii="Times New Roman" w:hAnsi="Calibri" w:eastAsia="宋体" w:cs="Times New Roman"/>
                <w:b/>
                <w:kern w:val="0"/>
                <w:sz w:val="24"/>
                <w:szCs w:val="20"/>
              </w:rPr>
              <w:t>序号</w:t>
            </w:r>
          </w:p>
        </w:tc>
        <w:tc>
          <w:tcPr>
            <w:tcW w:w="1403" w:type="pct"/>
            <w:vAlign w:val="center"/>
          </w:tcPr>
          <w:p>
            <w:pPr>
              <w:spacing w:line="300" w:lineRule="exact"/>
              <w:jc w:val="center"/>
              <w:rPr>
                <w:rFonts w:ascii="Times New Roman" w:hAnsi="Calibri" w:eastAsia="宋体" w:cs="Times New Roman"/>
                <w:b/>
                <w:kern w:val="0"/>
                <w:sz w:val="24"/>
                <w:szCs w:val="20"/>
              </w:rPr>
            </w:pPr>
            <w:r>
              <w:rPr>
                <w:rFonts w:hint="eastAsia" w:ascii="Times New Roman" w:hAnsi="Calibri" w:eastAsia="宋体" w:cs="Times New Roman"/>
                <w:b/>
                <w:kern w:val="0"/>
                <w:sz w:val="24"/>
                <w:szCs w:val="20"/>
              </w:rPr>
              <w:t>系统/设备名</w:t>
            </w:r>
          </w:p>
        </w:tc>
        <w:tc>
          <w:tcPr>
            <w:tcW w:w="1188" w:type="pct"/>
            <w:vAlign w:val="center"/>
          </w:tcPr>
          <w:p>
            <w:pPr>
              <w:spacing w:line="300" w:lineRule="exact"/>
              <w:rPr>
                <w:rFonts w:ascii="Times New Roman" w:hAnsi="Calibri" w:eastAsia="宋体" w:cs="Times New Roman"/>
                <w:b/>
                <w:kern w:val="0"/>
                <w:sz w:val="24"/>
                <w:szCs w:val="20"/>
              </w:rPr>
            </w:pPr>
            <w:r>
              <w:rPr>
                <w:rFonts w:hint="eastAsia" w:ascii="Times New Roman" w:hAnsi="Calibri" w:eastAsia="宋体" w:cs="Times New Roman"/>
                <w:b/>
                <w:kern w:val="0"/>
                <w:sz w:val="24"/>
                <w:szCs w:val="20"/>
              </w:rPr>
              <w:t>包含组件、器材/每套</w:t>
            </w:r>
          </w:p>
        </w:tc>
        <w:tc>
          <w:tcPr>
            <w:tcW w:w="328" w:type="pct"/>
          </w:tcPr>
          <w:p>
            <w:pPr>
              <w:spacing w:line="300" w:lineRule="exact"/>
              <w:jc w:val="center"/>
              <w:rPr>
                <w:rFonts w:ascii="Times New Roman" w:hAnsi="Calibri" w:eastAsia="宋体" w:cs="Times New Roman"/>
                <w:b/>
                <w:kern w:val="0"/>
                <w:sz w:val="24"/>
                <w:szCs w:val="20"/>
              </w:rPr>
            </w:pPr>
            <w:r>
              <w:rPr>
                <w:rFonts w:hint="eastAsia" w:ascii="Times New Roman" w:hAnsi="Calibri" w:eastAsia="宋体" w:cs="Times New Roman"/>
                <w:b/>
                <w:kern w:val="0"/>
                <w:sz w:val="24"/>
                <w:szCs w:val="20"/>
              </w:rPr>
              <w:t>单位</w:t>
            </w:r>
          </w:p>
        </w:tc>
        <w:tc>
          <w:tcPr>
            <w:tcW w:w="355" w:type="pct"/>
            <w:vAlign w:val="center"/>
          </w:tcPr>
          <w:p>
            <w:pPr>
              <w:spacing w:line="300" w:lineRule="exact"/>
              <w:jc w:val="center"/>
              <w:rPr>
                <w:rFonts w:ascii="Times New Roman" w:hAnsi="Calibri" w:eastAsia="宋体" w:cs="Times New Roman"/>
                <w:b/>
                <w:kern w:val="0"/>
                <w:sz w:val="24"/>
                <w:szCs w:val="20"/>
              </w:rPr>
            </w:pPr>
            <w:r>
              <w:rPr>
                <w:rFonts w:hint="eastAsia" w:ascii="Times New Roman" w:hAnsi="Calibri" w:eastAsia="宋体" w:cs="Times New Roman"/>
                <w:b/>
                <w:kern w:val="0"/>
                <w:sz w:val="24"/>
                <w:szCs w:val="20"/>
              </w:rPr>
              <w:t>数量</w:t>
            </w:r>
          </w:p>
        </w:tc>
        <w:tc>
          <w:tcPr>
            <w:tcW w:w="1423" w:type="pct"/>
            <w:vAlign w:val="center"/>
          </w:tcPr>
          <w:p>
            <w:pPr>
              <w:spacing w:line="300" w:lineRule="exact"/>
              <w:jc w:val="center"/>
              <w:rPr>
                <w:rFonts w:ascii="Times New Roman" w:hAnsi="Calibri" w:eastAsia="宋体" w:cs="Times New Roman"/>
                <w:b/>
                <w:kern w:val="0"/>
                <w:sz w:val="24"/>
                <w:szCs w:val="20"/>
              </w:rPr>
            </w:pPr>
            <w:r>
              <w:rPr>
                <w:rFonts w:hint="eastAsia" w:ascii="Times New Roman" w:hAnsi="Calibri" w:eastAsia="宋体" w:cs="Times New Roman"/>
                <w:b/>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01" w:type="pct"/>
            <w:vMerge w:val="restart"/>
            <w:shd w:val="clear" w:color="auto" w:fill="auto"/>
          </w:tcPr>
          <w:p>
            <w:pPr>
              <w:rPr>
                <w:rFonts w:ascii="Times New Roman" w:hAnsi="Calibri" w:eastAsia="宋体" w:cs="Times New Roman"/>
                <w:kern w:val="0"/>
                <w:sz w:val="18"/>
                <w:szCs w:val="18"/>
              </w:rPr>
            </w:pPr>
            <w:r>
              <w:rPr>
                <w:rFonts w:hint="eastAsia" w:ascii="Times New Roman" w:hAnsi="Calibri" w:eastAsia="宋体" w:cs="Times New Roman"/>
                <w:kern w:val="0"/>
                <w:sz w:val="18"/>
                <w:szCs w:val="18"/>
              </w:rPr>
              <w:t>1</w:t>
            </w:r>
          </w:p>
        </w:tc>
        <w:tc>
          <w:tcPr>
            <w:tcW w:w="2591" w:type="pct"/>
            <w:gridSpan w:val="2"/>
            <w:shd w:val="clear" w:color="auto" w:fill="auto"/>
          </w:tcPr>
          <w:p>
            <w:pPr>
              <w:rPr>
                <w:rFonts w:ascii="Times New Roman" w:hAnsi="Calibri" w:eastAsia="宋体" w:cs="Times New Roman"/>
                <w:b/>
                <w:kern w:val="0"/>
                <w:sz w:val="18"/>
                <w:szCs w:val="18"/>
              </w:rPr>
            </w:pPr>
            <w:r>
              <w:rPr>
                <w:rFonts w:hint="eastAsia" w:ascii="Times New Roman" w:hAnsi="Calibri" w:eastAsia="宋体" w:cs="Times New Roman"/>
                <w:b/>
                <w:bCs/>
                <w:kern w:val="0"/>
                <w:sz w:val="18"/>
                <w:szCs w:val="18"/>
              </w:rPr>
              <w:t xml:space="preserve">必备系统：   </w:t>
            </w:r>
            <w:r>
              <w:rPr>
                <w:rFonts w:ascii="Times New Roman" w:hAnsi="Calibri" w:eastAsia="宋体" w:cs="Times New Roman"/>
                <w:b/>
                <w:bCs/>
                <w:kern w:val="0"/>
                <w:sz w:val="18"/>
                <w:szCs w:val="18"/>
              </w:rPr>
              <w:t>基础电工</w:t>
            </w:r>
            <w:r>
              <w:rPr>
                <w:rFonts w:hint="eastAsia" w:ascii="Times New Roman" w:hAnsi="Calibri" w:eastAsia="宋体" w:cs="Times New Roman"/>
                <w:b/>
                <w:bCs/>
                <w:kern w:val="0"/>
                <w:sz w:val="18"/>
                <w:szCs w:val="18"/>
              </w:rPr>
              <w:t>实训实验操作屏</w:t>
            </w:r>
          </w:p>
        </w:tc>
        <w:tc>
          <w:tcPr>
            <w:tcW w:w="328" w:type="pct"/>
          </w:tcPr>
          <w:p>
            <w:pPr>
              <w:jc w:val="right"/>
              <w:rPr>
                <w:rFonts w:ascii="Times New Roman" w:hAnsi="Calibri" w:eastAsia="宋体" w:cs="Times New Roman"/>
                <w:b/>
                <w:kern w:val="0"/>
                <w:sz w:val="18"/>
                <w:szCs w:val="18"/>
              </w:rPr>
            </w:pPr>
            <w:r>
              <w:rPr>
                <w:rFonts w:hint="eastAsia" w:ascii="Times New Roman" w:hAnsi="Calibri" w:eastAsia="宋体" w:cs="Times New Roman"/>
                <w:b/>
                <w:kern w:val="0"/>
                <w:sz w:val="18"/>
                <w:szCs w:val="18"/>
              </w:rPr>
              <w:t>套</w:t>
            </w:r>
          </w:p>
        </w:tc>
        <w:tc>
          <w:tcPr>
            <w:tcW w:w="355" w:type="pct"/>
          </w:tcPr>
          <w:p>
            <w:pPr>
              <w:jc w:val="right"/>
              <w:rPr>
                <w:rFonts w:ascii="Times New Roman" w:hAnsi="Calibri" w:eastAsia="宋体" w:cs="Times New Roman"/>
                <w:b/>
                <w:kern w:val="0"/>
                <w:sz w:val="18"/>
                <w:szCs w:val="18"/>
              </w:rPr>
            </w:pPr>
            <w:r>
              <w:rPr>
                <w:rFonts w:hint="eastAsia" w:ascii="Times New Roman" w:hAnsi="Calibri" w:eastAsia="宋体" w:cs="Times New Roman"/>
                <w:b/>
                <w:kern w:val="0"/>
                <w:sz w:val="18"/>
                <w:szCs w:val="18"/>
              </w:rPr>
              <w:t>30</w:t>
            </w:r>
          </w:p>
        </w:tc>
        <w:tc>
          <w:tcPr>
            <w:tcW w:w="1423" w:type="pct"/>
          </w:tcPr>
          <w:p>
            <w:pPr>
              <w:jc w:val="center"/>
              <w:rPr>
                <w:rFonts w:ascii="Times New Roman" w:hAnsi="Calibri"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restart"/>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Calibri" w:eastAsia="宋体" w:cs="Times New Roman"/>
                <w:bCs/>
                <w:kern w:val="0"/>
                <w:sz w:val="18"/>
                <w:szCs w:val="18"/>
              </w:rPr>
              <w:t>基础电工</w:t>
            </w:r>
            <w:r>
              <w:rPr>
                <w:rFonts w:hint="eastAsia" w:ascii="Calibri" w:hAnsi="Calibri" w:eastAsia="宋体" w:cs="Times New Roman"/>
                <w:kern w:val="0"/>
                <w:sz w:val="18"/>
                <w:szCs w:val="18"/>
              </w:rPr>
              <w:t>实验操作屏架</w:t>
            </w:r>
          </w:p>
        </w:tc>
        <w:tc>
          <w:tcPr>
            <w:tcW w:w="328" w:type="pct"/>
          </w:tcPr>
          <w:p>
            <w:pPr>
              <w:jc w:val="right"/>
              <w:rPr>
                <w:rFonts w:ascii="Times New Roman" w:hAnsi="Calibri" w:eastAsia="宋体" w:cs="Times New Roman"/>
                <w:kern w:val="0"/>
                <w:sz w:val="18"/>
                <w:szCs w:val="18"/>
              </w:rPr>
            </w:pPr>
            <w:r>
              <w:rPr>
                <w:rFonts w:hint="eastAsia" w:ascii="Times New Roman" w:hAnsi="Calibri" w:eastAsia="宋体" w:cs="Times New Roman"/>
                <w:kern w:val="0"/>
                <w:sz w:val="18"/>
                <w:szCs w:val="18"/>
              </w:rPr>
              <w:t>架</w:t>
            </w:r>
          </w:p>
        </w:tc>
        <w:tc>
          <w:tcPr>
            <w:tcW w:w="355" w:type="pct"/>
          </w:tcPr>
          <w:p>
            <w:pPr>
              <w:widowControl/>
              <w:spacing w:line="240" w:lineRule="atLeast"/>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p>
        </w:tc>
        <w:tc>
          <w:tcPr>
            <w:tcW w:w="1423" w:type="pct"/>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r>
              <w:rPr>
                <w:rFonts w:ascii="Times New Roman" w:hAnsi="Times New Roman" w:eastAsia="宋体" w:cs="Times New Roman"/>
                <w:kern w:val="0"/>
                <w:sz w:val="18"/>
                <w:szCs w:val="18"/>
              </w:rPr>
              <w:t>00*800</w:t>
            </w:r>
            <w:r>
              <w:rPr>
                <w:rFonts w:hint="eastAsia" w:ascii="Calibri" w:hAnsi="Calibri" w:eastAsia="宋体" w:cs="Times New Roman"/>
                <w:kern w:val="0"/>
                <w:sz w:val="18"/>
                <w:szCs w:val="18"/>
              </w:rPr>
              <w:t>网孔板</w:t>
            </w:r>
          </w:p>
        </w:tc>
        <w:tc>
          <w:tcPr>
            <w:tcW w:w="328" w:type="pct"/>
          </w:tcPr>
          <w:p>
            <w:pPr>
              <w:jc w:val="right"/>
              <w:rPr>
                <w:rFonts w:ascii="Times New Roman" w:hAnsi="Calibri" w:eastAsia="宋体" w:cs="Times New Roman"/>
                <w:kern w:val="0"/>
                <w:sz w:val="18"/>
                <w:szCs w:val="18"/>
              </w:rPr>
            </w:pPr>
            <w:r>
              <w:rPr>
                <w:rFonts w:hint="eastAsia" w:ascii="Times New Roman" w:hAnsi="Calibri" w:eastAsia="宋体" w:cs="Times New Roman"/>
                <w:kern w:val="0"/>
                <w:sz w:val="18"/>
                <w:szCs w:val="18"/>
              </w:rPr>
              <w:t>块</w:t>
            </w:r>
          </w:p>
        </w:tc>
        <w:tc>
          <w:tcPr>
            <w:tcW w:w="355" w:type="pct"/>
          </w:tcPr>
          <w:p>
            <w:pPr>
              <w:widowControl/>
              <w:spacing w:line="240" w:lineRule="atLeast"/>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p>
        </w:tc>
        <w:tc>
          <w:tcPr>
            <w:tcW w:w="1423" w:type="pct"/>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ABS自攻相扣</w:t>
            </w:r>
          </w:p>
        </w:tc>
        <w:tc>
          <w:tcPr>
            <w:tcW w:w="328" w:type="pct"/>
          </w:tcPr>
          <w:p>
            <w:pPr>
              <w:jc w:val="right"/>
              <w:rPr>
                <w:rFonts w:ascii="Times New Roman" w:hAnsi="Calibri" w:eastAsia="宋体" w:cs="Times New Roman"/>
                <w:kern w:val="0"/>
                <w:sz w:val="18"/>
                <w:szCs w:val="18"/>
              </w:rPr>
            </w:pPr>
            <w:r>
              <w:rPr>
                <w:rFonts w:ascii="Times New Roman" w:hAnsi="Calibri" w:eastAsia="宋体" w:cs="Times New Roman"/>
                <w:kern w:val="0"/>
                <w:sz w:val="18"/>
                <w:szCs w:val="18"/>
              </w:rPr>
              <w:t>个</w:t>
            </w:r>
          </w:p>
        </w:tc>
        <w:tc>
          <w:tcPr>
            <w:tcW w:w="355" w:type="pct"/>
          </w:tcPr>
          <w:p>
            <w:pPr>
              <w:widowControl/>
              <w:spacing w:line="240" w:lineRule="atLeast"/>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200</w:t>
            </w:r>
            <w:r>
              <w:rPr>
                <w:rFonts w:ascii="Times New Roman" w:hAnsi="Times New Roman" w:eastAsia="宋体" w:cs="Times New Roman"/>
                <w:kern w:val="0"/>
                <w:sz w:val="18"/>
                <w:szCs w:val="18"/>
              </w:rPr>
              <w:t xml:space="preserve"> </w:t>
            </w:r>
          </w:p>
        </w:tc>
        <w:tc>
          <w:tcPr>
            <w:tcW w:w="1423" w:type="pct"/>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单相电子电度表</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widowControl/>
              <w:spacing w:line="240" w:lineRule="atLeast"/>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 xml:space="preserve"> </w:t>
            </w:r>
          </w:p>
        </w:tc>
        <w:tc>
          <w:tcPr>
            <w:tcW w:w="1423" w:type="pct"/>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配电箱</w:t>
            </w:r>
          </w:p>
        </w:tc>
        <w:tc>
          <w:tcPr>
            <w:tcW w:w="328" w:type="pct"/>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widowControl/>
              <w:spacing w:line="240" w:lineRule="atLeast"/>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p>
        </w:tc>
        <w:tc>
          <w:tcPr>
            <w:tcW w:w="1423" w:type="pct"/>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10A单</w:t>
            </w:r>
            <w:r>
              <w:rPr>
                <w:rFonts w:ascii="Times New Roman" w:hAnsi="Times New Roman" w:eastAsia="宋体" w:cs="Times New Roman"/>
                <w:kern w:val="0"/>
                <w:sz w:val="18"/>
                <w:szCs w:val="18"/>
              </w:rPr>
              <w:t>相漏电开关</w:t>
            </w:r>
          </w:p>
        </w:tc>
        <w:tc>
          <w:tcPr>
            <w:tcW w:w="328" w:type="pct"/>
          </w:tcPr>
          <w:p>
            <w:pPr>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widowControl/>
              <w:spacing w:line="240" w:lineRule="atLeast"/>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p>
        </w:tc>
        <w:tc>
          <w:tcPr>
            <w:tcW w:w="1423" w:type="pct"/>
          </w:tcPr>
          <w:p>
            <w:pPr>
              <w:rPr>
                <w:rFonts w:ascii="Times New Roman" w:hAnsi="Calibri" w:eastAsia="宋体" w:cs="Times New Roman"/>
                <w:kern w:val="0"/>
                <w:sz w:val="18"/>
                <w:szCs w:val="18"/>
              </w:rPr>
            </w:pPr>
            <w:r>
              <w:rPr>
                <w:rFonts w:hint="eastAsia" w:ascii="Times New Roman" w:hAnsi="Calibri" w:eastAsia="宋体" w:cs="Times New Roman"/>
                <w:kern w:val="0"/>
                <w:sz w:val="18"/>
                <w:szCs w:val="18"/>
              </w:rPr>
              <w:t>配电箱总开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熔断器</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widowControl/>
              <w:spacing w:line="240" w:lineRule="atLeast"/>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1423" w:type="pct"/>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16A</w:t>
            </w:r>
            <w:r>
              <w:rPr>
                <w:rFonts w:ascii="Times New Roman" w:hAnsi="Times New Roman" w:eastAsia="宋体" w:cs="Times New Roman"/>
                <w:kern w:val="0"/>
                <w:sz w:val="18"/>
                <w:szCs w:val="18"/>
              </w:rPr>
              <w:t>插座</w:t>
            </w:r>
            <w:r>
              <w:rPr>
                <w:rFonts w:hint="eastAsia" w:ascii="Times New Roman" w:hAnsi="Times New Roman" w:eastAsia="宋体" w:cs="Times New Roman"/>
                <w:kern w:val="0"/>
                <w:sz w:val="18"/>
                <w:szCs w:val="18"/>
              </w:rPr>
              <w:t>、插头</w:t>
            </w:r>
          </w:p>
        </w:tc>
        <w:tc>
          <w:tcPr>
            <w:tcW w:w="328" w:type="pct"/>
          </w:tcPr>
          <w:p>
            <w:pPr>
              <w:jc w:val="right"/>
              <w:rPr>
                <w:rFonts w:ascii="Times New Roman" w:hAnsi="Calibri" w:eastAsia="宋体" w:cs="Times New Roman"/>
                <w:kern w:val="0"/>
                <w:sz w:val="18"/>
                <w:szCs w:val="18"/>
              </w:rPr>
            </w:pPr>
            <w:r>
              <w:rPr>
                <w:rFonts w:hint="eastAsia" w:ascii="Times New Roman" w:hAnsi="Times New Roman" w:eastAsia="宋体" w:cs="Times New Roman"/>
                <w:kern w:val="0"/>
                <w:sz w:val="18"/>
                <w:szCs w:val="18"/>
              </w:rPr>
              <w:t>套</w:t>
            </w:r>
          </w:p>
        </w:tc>
        <w:tc>
          <w:tcPr>
            <w:tcW w:w="355" w:type="pct"/>
          </w:tcPr>
          <w:p>
            <w:pPr>
              <w:widowControl/>
              <w:spacing w:line="240" w:lineRule="atLeast"/>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 xml:space="preserve"> </w:t>
            </w:r>
          </w:p>
        </w:tc>
        <w:tc>
          <w:tcPr>
            <w:tcW w:w="1423" w:type="pct"/>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彩色灯泡及灯座</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套</w:t>
            </w:r>
          </w:p>
        </w:tc>
        <w:tc>
          <w:tcPr>
            <w:tcW w:w="355" w:type="pct"/>
          </w:tcPr>
          <w:p>
            <w:pPr>
              <w:widowControl/>
              <w:spacing w:line="240" w:lineRule="atLeast"/>
              <w:jc w:val="righ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p>
        </w:tc>
        <w:tc>
          <w:tcPr>
            <w:tcW w:w="1423" w:type="pct"/>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p>
        </w:tc>
        <w:tc>
          <w:tcPr>
            <w:tcW w:w="328" w:type="pct"/>
          </w:tcPr>
          <w:p>
            <w:pPr>
              <w:jc w:val="right"/>
              <w:rPr>
                <w:rFonts w:ascii="Times New Roman" w:hAnsi="Times New Roman" w:eastAsia="宋体" w:cs="Times New Roman"/>
                <w:kern w:val="0"/>
                <w:sz w:val="18"/>
                <w:szCs w:val="18"/>
              </w:rPr>
            </w:pPr>
          </w:p>
        </w:tc>
        <w:tc>
          <w:tcPr>
            <w:tcW w:w="355" w:type="pct"/>
          </w:tcPr>
          <w:p>
            <w:pPr>
              <w:jc w:val="right"/>
              <w:rPr>
                <w:rFonts w:ascii="Times New Roman" w:hAnsi="Times New Roman" w:eastAsia="宋体" w:cs="Times New Roman"/>
                <w:kern w:val="0"/>
                <w:sz w:val="18"/>
                <w:szCs w:val="18"/>
              </w:rPr>
            </w:pPr>
          </w:p>
        </w:tc>
        <w:tc>
          <w:tcPr>
            <w:tcW w:w="1423" w:type="pct"/>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p>
        </w:tc>
        <w:tc>
          <w:tcPr>
            <w:tcW w:w="328" w:type="pct"/>
          </w:tcPr>
          <w:p>
            <w:pPr>
              <w:jc w:val="right"/>
              <w:rPr>
                <w:rFonts w:ascii="Times New Roman" w:hAnsi="Times New Roman" w:eastAsia="宋体" w:cs="Times New Roman"/>
                <w:kern w:val="0"/>
                <w:sz w:val="18"/>
                <w:szCs w:val="18"/>
              </w:rPr>
            </w:pPr>
          </w:p>
        </w:tc>
        <w:tc>
          <w:tcPr>
            <w:tcW w:w="355" w:type="pct"/>
          </w:tcPr>
          <w:p>
            <w:pPr>
              <w:jc w:val="right"/>
              <w:rPr>
                <w:rFonts w:ascii="Times New Roman" w:hAnsi="Times New Roman" w:eastAsia="宋体" w:cs="Times New Roman"/>
                <w:kern w:val="0"/>
                <w:sz w:val="18"/>
                <w:szCs w:val="18"/>
              </w:rPr>
            </w:pPr>
          </w:p>
        </w:tc>
        <w:tc>
          <w:tcPr>
            <w:tcW w:w="1423" w:type="pct"/>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restart"/>
            <w:shd w:val="clear" w:color="auto" w:fill="auto"/>
          </w:tcPr>
          <w:p>
            <w:pPr>
              <w:rPr>
                <w:rFonts w:ascii="Times New Roman" w:hAnsi="Calibri" w:eastAsia="宋体" w:cs="Times New Roman"/>
                <w:kern w:val="0"/>
                <w:sz w:val="18"/>
                <w:szCs w:val="18"/>
              </w:rPr>
            </w:pPr>
            <w:r>
              <w:rPr>
                <w:rFonts w:hint="eastAsia" w:ascii="Times New Roman" w:hAnsi="Calibri" w:eastAsia="宋体" w:cs="Times New Roman"/>
                <w:kern w:val="0"/>
                <w:sz w:val="18"/>
                <w:szCs w:val="18"/>
              </w:rPr>
              <w:t>2</w:t>
            </w:r>
          </w:p>
        </w:tc>
        <w:tc>
          <w:tcPr>
            <w:tcW w:w="2591" w:type="pct"/>
            <w:gridSpan w:val="2"/>
            <w:shd w:val="clear" w:color="auto" w:fill="auto"/>
          </w:tcPr>
          <w:p>
            <w:pPr>
              <w:rPr>
                <w:rFonts w:ascii="Times New Roman" w:hAnsi="Calibri" w:eastAsia="宋体" w:cs="Times New Roman"/>
                <w:kern w:val="0"/>
                <w:sz w:val="18"/>
                <w:szCs w:val="18"/>
              </w:rPr>
            </w:pPr>
            <w:r>
              <w:rPr>
                <w:rFonts w:hint="eastAsia" w:ascii="Times New Roman" w:hAnsi="Calibri" w:eastAsia="宋体" w:cs="Times New Roman"/>
                <w:b/>
                <w:kern w:val="0"/>
                <w:sz w:val="18"/>
                <w:szCs w:val="18"/>
              </w:rPr>
              <w:t>可选组件、器材：</w:t>
            </w:r>
          </w:p>
        </w:tc>
        <w:tc>
          <w:tcPr>
            <w:tcW w:w="328" w:type="pct"/>
            <w:shd w:val="clear" w:color="auto" w:fill="auto"/>
          </w:tcPr>
          <w:p>
            <w:pPr>
              <w:jc w:val="right"/>
              <w:rPr>
                <w:rFonts w:ascii="Times New Roman" w:hAnsi="Calibri" w:eastAsia="宋体" w:cs="Times New Roman"/>
                <w:kern w:val="0"/>
                <w:sz w:val="18"/>
                <w:szCs w:val="18"/>
              </w:rPr>
            </w:pPr>
          </w:p>
        </w:tc>
        <w:tc>
          <w:tcPr>
            <w:tcW w:w="355" w:type="pct"/>
          </w:tcPr>
          <w:p>
            <w:pPr>
              <w:rPr>
                <w:rFonts w:ascii="Times New Roman" w:hAnsi="Calibri" w:eastAsia="宋体" w:cs="Times New Roman"/>
                <w:kern w:val="0"/>
                <w:sz w:val="18"/>
                <w:szCs w:val="18"/>
              </w:rPr>
            </w:pPr>
          </w:p>
        </w:tc>
        <w:tc>
          <w:tcPr>
            <w:tcW w:w="1423" w:type="pct"/>
            <w:vMerge w:val="restart"/>
          </w:tcPr>
          <w:p>
            <w:pPr>
              <w:rPr>
                <w:rFonts w:ascii="Times New Roman" w:hAnsi="Calibri" w:eastAsia="宋体" w:cs="Times New Roman"/>
                <w:kern w:val="0"/>
                <w:sz w:val="18"/>
                <w:szCs w:val="18"/>
              </w:rPr>
            </w:pPr>
            <w:r>
              <w:rPr>
                <w:rFonts w:hint="eastAsia" w:ascii="Times New Roman" w:hAnsi="Calibri" w:eastAsia="宋体" w:cs="Times New Roman"/>
                <w:kern w:val="0"/>
                <w:sz w:val="18"/>
                <w:szCs w:val="18"/>
              </w:rPr>
              <w:t>谈判方根据系统所提供配套的</w:t>
            </w:r>
            <w:r>
              <w:rPr>
                <w:rFonts w:hint="eastAsia" w:ascii="Times New Roman" w:hAnsi="Times New Roman" w:eastAsia="宋体" w:cs="Times New Roman"/>
                <w:bCs/>
                <w:kern w:val="0"/>
                <w:sz w:val="18"/>
                <w:szCs w:val="18"/>
              </w:rPr>
              <w:t>实验课件、实验指导书，提供</w:t>
            </w:r>
            <w:r>
              <w:rPr>
                <w:rFonts w:hint="eastAsia" w:ascii="Times New Roman" w:hAnsi="Calibri" w:eastAsia="宋体" w:cs="Times New Roman"/>
                <w:kern w:val="0"/>
                <w:sz w:val="18"/>
                <w:szCs w:val="18"/>
              </w:rPr>
              <w:t>可选组件、器材清单、单套数量、和单价，供评标时参考。</w:t>
            </w:r>
          </w:p>
          <w:p>
            <w:pPr>
              <w:rPr>
                <w:rFonts w:ascii="Times New Roman" w:hAnsi="Calibri" w:eastAsia="宋体" w:cs="Times New Roman"/>
                <w:b/>
                <w:kern w:val="0"/>
                <w:sz w:val="18"/>
                <w:szCs w:val="18"/>
              </w:rPr>
            </w:pPr>
            <w:r>
              <w:rPr>
                <w:rFonts w:hint="eastAsia" w:ascii="Times New Roman" w:hAnsi="Calibri" w:eastAsia="宋体" w:cs="Times New Roman"/>
                <w:b/>
                <w:kern w:val="0"/>
                <w:sz w:val="18"/>
                <w:szCs w:val="18"/>
              </w:rPr>
              <w:t>本项内容可调整(增删)</w:t>
            </w:r>
          </w:p>
          <w:p>
            <w:pPr>
              <w:rPr>
                <w:rFonts w:ascii="Times New Roman" w:hAnsi="Times New Roman" w:eastAsia="宋体" w:cs="Times New Roman"/>
                <w:bCs/>
                <w:kern w:val="0"/>
                <w:sz w:val="18"/>
                <w:szCs w:val="18"/>
              </w:rPr>
            </w:pPr>
            <w:r>
              <w:rPr>
                <w:rFonts w:hint="eastAsia" w:ascii="Times New Roman" w:hAnsi="Calibri" w:eastAsia="宋体" w:cs="Times New Roman"/>
                <w:b/>
                <w:kern w:val="0"/>
                <w:sz w:val="18"/>
                <w:szCs w:val="18"/>
              </w:rPr>
              <w:t>本项价格不列入谈判总价。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restart"/>
            <w:shd w:val="clear" w:color="auto" w:fill="auto"/>
          </w:tcPr>
          <w:p>
            <w:pPr>
              <w:rPr>
                <w:rFonts w:ascii="Times New Roman" w:hAnsi="Calibri" w:eastAsia="宋体" w:cs="Times New Roman"/>
                <w:b/>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单</w:t>
            </w:r>
            <w:r>
              <w:rPr>
                <w:rFonts w:ascii="Times New Roman" w:hAnsi="Times New Roman" w:eastAsia="宋体" w:cs="Times New Roman"/>
                <w:kern w:val="0"/>
                <w:sz w:val="18"/>
                <w:szCs w:val="18"/>
              </w:rPr>
              <w:t>相漏电开关</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jc w:val="right"/>
              <w:rPr>
                <w:rFonts w:ascii="Times New Roman" w:hAnsi="Calibri" w:eastAsia="宋体" w:cs="Times New Roman"/>
                <w:kern w:val="0"/>
                <w:sz w:val="18"/>
                <w:szCs w:val="18"/>
              </w:rPr>
            </w:pPr>
          </w:p>
        </w:tc>
        <w:tc>
          <w:tcPr>
            <w:tcW w:w="1423" w:type="pct"/>
            <w:vMerge w:val="continue"/>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插座面板</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jc w:val="right"/>
              <w:rPr>
                <w:rFonts w:ascii="Times New Roman" w:hAnsi="Calibri" w:eastAsia="宋体" w:cs="Times New Roman"/>
                <w:kern w:val="0"/>
                <w:sz w:val="18"/>
                <w:szCs w:val="18"/>
              </w:rPr>
            </w:pPr>
          </w:p>
        </w:tc>
        <w:tc>
          <w:tcPr>
            <w:tcW w:w="1423" w:type="pct"/>
            <w:vMerge w:val="continue"/>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日光灯组件</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套</w:t>
            </w:r>
          </w:p>
        </w:tc>
        <w:tc>
          <w:tcPr>
            <w:tcW w:w="355" w:type="pct"/>
          </w:tcPr>
          <w:p>
            <w:pPr>
              <w:jc w:val="right"/>
              <w:rPr>
                <w:rFonts w:ascii="Times New Roman" w:hAnsi="Calibri" w:eastAsia="宋体" w:cs="Times New Roman"/>
                <w:kern w:val="0"/>
                <w:sz w:val="18"/>
                <w:szCs w:val="18"/>
              </w:rPr>
            </w:pPr>
          </w:p>
        </w:tc>
        <w:tc>
          <w:tcPr>
            <w:tcW w:w="1423" w:type="pct"/>
            <w:vMerge w:val="continue"/>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开关</w:t>
            </w:r>
            <w:r>
              <w:rPr>
                <w:rFonts w:hint="eastAsia" w:ascii="Times New Roman" w:hAnsi="Times New Roman" w:eastAsia="宋体" w:cs="Times New Roman"/>
                <w:kern w:val="0"/>
                <w:sz w:val="18"/>
                <w:szCs w:val="18"/>
              </w:rPr>
              <w:t>面板</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jc w:val="right"/>
              <w:rPr>
                <w:rFonts w:ascii="Times New Roman" w:hAnsi="Calibri" w:eastAsia="宋体" w:cs="Times New Roman"/>
                <w:kern w:val="0"/>
                <w:sz w:val="18"/>
                <w:szCs w:val="18"/>
              </w:rPr>
            </w:pPr>
          </w:p>
        </w:tc>
        <w:tc>
          <w:tcPr>
            <w:tcW w:w="1423" w:type="pct"/>
            <w:vMerge w:val="continue"/>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调光开关</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jc w:val="right"/>
              <w:rPr>
                <w:rFonts w:ascii="Times New Roman" w:hAnsi="Calibri" w:eastAsia="宋体" w:cs="Times New Roman"/>
                <w:kern w:val="0"/>
                <w:sz w:val="18"/>
                <w:szCs w:val="18"/>
              </w:rPr>
            </w:pPr>
          </w:p>
        </w:tc>
        <w:tc>
          <w:tcPr>
            <w:tcW w:w="1423" w:type="pct"/>
            <w:vMerge w:val="continue"/>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触摸延时开关</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jc w:val="right"/>
              <w:rPr>
                <w:rFonts w:ascii="Times New Roman" w:hAnsi="Calibri" w:eastAsia="宋体" w:cs="Times New Roman"/>
                <w:kern w:val="0"/>
                <w:sz w:val="18"/>
                <w:szCs w:val="18"/>
              </w:rPr>
            </w:pPr>
          </w:p>
        </w:tc>
        <w:tc>
          <w:tcPr>
            <w:tcW w:w="1423" w:type="pct"/>
            <w:vMerge w:val="continue"/>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人体感应自动开关</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jc w:val="right"/>
              <w:rPr>
                <w:rFonts w:ascii="Times New Roman" w:hAnsi="Calibri" w:eastAsia="宋体" w:cs="Times New Roman"/>
                <w:kern w:val="0"/>
                <w:sz w:val="18"/>
                <w:szCs w:val="18"/>
              </w:rPr>
            </w:pPr>
          </w:p>
        </w:tc>
        <w:tc>
          <w:tcPr>
            <w:tcW w:w="1423" w:type="pct"/>
            <w:vMerge w:val="continue"/>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声光控延时开关</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jc w:val="right"/>
              <w:rPr>
                <w:rFonts w:ascii="Times New Roman" w:hAnsi="Calibri" w:eastAsia="宋体" w:cs="Times New Roman"/>
                <w:kern w:val="0"/>
                <w:sz w:val="18"/>
                <w:szCs w:val="18"/>
              </w:rPr>
            </w:pPr>
          </w:p>
        </w:tc>
        <w:tc>
          <w:tcPr>
            <w:tcW w:w="1423" w:type="pct"/>
            <w:vMerge w:val="continue"/>
          </w:tcPr>
          <w:p>
            <w:pPr>
              <w:rPr>
                <w:rFonts w:ascii="Times New Roman" w:hAnsi="Calibri"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Merge w:val="continue"/>
            <w:shd w:val="clear" w:color="auto" w:fill="auto"/>
          </w:tcPr>
          <w:p>
            <w:pPr>
              <w:rPr>
                <w:rFonts w:ascii="Times New Roman" w:hAnsi="Calibri" w:eastAsia="宋体" w:cs="Times New Roman"/>
                <w:kern w:val="0"/>
                <w:sz w:val="18"/>
                <w:szCs w:val="18"/>
              </w:rPr>
            </w:pPr>
          </w:p>
        </w:tc>
        <w:tc>
          <w:tcPr>
            <w:tcW w:w="1403" w:type="pct"/>
            <w:vMerge w:val="continue"/>
            <w:shd w:val="clear" w:color="auto" w:fill="auto"/>
          </w:tcPr>
          <w:p>
            <w:pPr>
              <w:rPr>
                <w:rFonts w:ascii="Times New Roman" w:hAnsi="Calibri" w:eastAsia="宋体" w:cs="Times New Roman"/>
                <w:kern w:val="0"/>
                <w:sz w:val="18"/>
                <w:szCs w:val="18"/>
              </w:rPr>
            </w:pPr>
          </w:p>
        </w:tc>
        <w:tc>
          <w:tcPr>
            <w:tcW w:w="1188" w:type="pct"/>
          </w:tcPr>
          <w:p>
            <w:pPr>
              <w:widowControl/>
              <w:spacing w:line="240" w:lineRule="atLeast"/>
              <w:ind w:left="141"/>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盒式开关</w:t>
            </w:r>
          </w:p>
        </w:tc>
        <w:tc>
          <w:tcPr>
            <w:tcW w:w="328" w:type="pct"/>
          </w:tcPr>
          <w:p>
            <w:pPr>
              <w:jc w:val="right"/>
              <w:rPr>
                <w:rFonts w:ascii="Times New Roman" w:hAnsi="Calibri" w:eastAsia="宋体" w:cs="Times New Roman"/>
                <w:kern w:val="0"/>
                <w:sz w:val="18"/>
                <w:szCs w:val="18"/>
              </w:rPr>
            </w:pPr>
            <w:r>
              <w:rPr>
                <w:rFonts w:ascii="Times New Roman" w:hAnsi="Times New Roman" w:eastAsia="宋体" w:cs="Times New Roman"/>
                <w:kern w:val="0"/>
                <w:sz w:val="18"/>
                <w:szCs w:val="18"/>
              </w:rPr>
              <w:t>只</w:t>
            </w:r>
          </w:p>
        </w:tc>
        <w:tc>
          <w:tcPr>
            <w:tcW w:w="355" w:type="pct"/>
          </w:tcPr>
          <w:p>
            <w:pPr>
              <w:jc w:val="right"/>
              <w:rPr>
                <w:rFonts w:ascii="Times New Roman" w:hAnsi="Calibri" w:eastAsia="宋体" w:cs="Times New Roman"/>
                <w:kern w:val="0"/>
                <w:sz w:val="18"/>
                <w:szCs w:val="18"/>
              </w:rPr>
            </w:pPr>
          </w:p>
        </w:tc>
        <w:tc>
          <w:tcPr>
            <w:tcW w:w="1423" w:type="pct"/>
            <w:vMerge w:val="continue"/>
          </w:tcPr>
          <w:p>
            <w:pPr>
              <w:rPr>
                <w:rFonts w:ascii="Times New Roman" w:hAnsi="Calibri" w:eastAsia="宋体" w:cs="Times New Roman"/>
                <w:kern w:val="0"/>
                <w:sz w:val="18"/>
                <w:szCs w:val="18"/>
              </w:rPr>
            </w:pPr>
          </w:p>
        </w:tc>
      </w:tr>
    </w:tbl>
    <w:p>
      <w:pPr>
        <w:spacing w:line="360" w:lineRule="exact"/>
        <w:rPr>
          <w:rFonts w:ascii="宋体" w:hAnsi="宋体" w:eastAsia="宋体" w:cs="Times New Roman"/>
          <w:b/>
          <w:kern w:val="15"/>
          <w:sz w:val="24"/>
        </w:rPr>
      </w:pPr>
      <w:r>
        <w:rPr>
          <w:rFonts w:hint="eastAsia" w:ascii="宋体" w:hAnsi="宋体"/>
          <w:b/>
          <w:kern w:val="15"/>
          <w:sz w:val="24"/>
        </w:rPr>
        <w:t>四</w:t>
      </w:r>
      <w:r>
        <w:rPr>
          <w:rFonts w:hint="eastAsia" w:ascii="宋体" w:hAnsi="宋体" w:eastAsia="宋体" w:cs="Times New Roman"/>
          <w:b/>
          <w:kern w:val="15"/>
          <w:sz w:val="24"/>
        </w:rPr>
        <w:t>、商务条款</w:t>
      </w:r>
    </w:p>
    <w:p>
      <w:pPr>
        <w:numPr>
          <w:ilvl w:val="0"/>
          <w:numId w:val="17"/>
        </w:numPr>
        <w:adjustRightInd w:val="0"/>
        <w:snapToGrid w:val="0"/>
        <w:spacing w:line="360" w:lineRule="auto"/>
        <w:rPr>
          <w:rFonts w:ascii="宋体" w:hAnsi="宋体" w:eastAsia="宋体" w:cs="宋体"/>
          <w:sz w:val="24"/>
        </w:rPr>
      </w:pPr>
      <w:r>
        <w:rPr>
          <w:rFonts w:hint="eastAsia" w:ascii="宋体" w:hAnsi="宋体" w:eastAsia="宋体" w:cs="宋体"/>
          <w:sz w:val="24"/>
        </w:rPr>
        <w:t>1、本项目所采购设备，中标方必须承诺免费运送至南邮通达学院扬州校区(扬州市邗江区润扬南路33号)指定地点并按要求安装到位。</w:t>
      </w:r>
    </w:p>
    <w:p>
      <w:pPr>
        <w:numPr>
          <w:ilvl w:val="0"/>
          <w:numId w:val="17"/>
        </w:numPr>
        <w:spacing w:line="360" w:lineRule="auto"/>
        <w:rPr>
          <w:rFonts w:ascii="Calibri" w:hAnsi="Calibri" w:eastAsia="宋体" w:cs="Times New Roman"/>
          <w:sz w:val="24"/>
        </w:rPr>
      </w:pPr>
      <w:r>
        <w:rPr>
          <w:rFonts w:ascii="Calibri" w:hAnsi="Calibri" w:eastAsia="宋体" w:cs="Times New Roman"/>
          <w:sz w:val="24"/>
          <w:szCs w:val="21"/>
        </w:rPr>
        <w:t>本项目中所有产品须</w:t>
      </w:r>
      <w:r>
        <w:rPr>
          <w:rFonts w:ascii="Calibri" w:hAnsi="Calibri" w:eastAsia="宋体" w:cs="Times New Roman"/>
          <w:kern w:val="0"/>
          <w:sz w:val="24"/>
          <w:szCs w:val="21"/>
        </w:rPr>
        <w:t>提供</w:t>
      </w:r>
      <w:r>
        <w:rPr>
          <w:rFonts w:ascii="Calibri" w:hAnsi="Calibri" w:eastAsia="宋体" w:cs="Times New Roman"/>
          <w:color w:val="000000"/>
          <w:kern w:val="0"/>
          <w:sz w:val="24"/>
          <w:szCs w:val="21"/>
          <w:highlight w:val="yellow"/>
        </w:rPr>
        <w:t>贰年</w:t>
      </w:r>
      <w:r>
        <w:rPr>
          <w:rFonts w:ascii="Calibri" w:hAnsi="Calibri" w:eastAsia="宋体" w:cs="Times New Roman"/>
          <w:kern w:val="0"/>
          <w:sz w:val="24"/>
          <w:szCs w:val="21"/>
        </w:rPr>
        <w:t>免费质保服务。质保期内产生的一切费用由中标人承担。</w:t>
      </w:r>
    </w:p>
    <w:p>
      <w:pPr>
        <w:adjustRightInd w:val="0"/>
        <w:snapToGrid w:val="0"/>
        <w:spacing w:line="480" w:lineRule="exact"/>
        <w:ind w:firstLine="240" w:firstLineChars="100"/>
        <w:rPr>
          <w:rFonts w:ascii="宋体" w:hAnsi="Calibri" w:eastAsia="宋体" w:cs="宋体"/>
          <w:sz w:val="24"/>
        </w:rPr>
      </w:pPr>
      <w:r>
        <w:rPr>
          <w:rFonts w:hint="eastAsia" w:ascii="宋体" w:hAnsi="宋体" w:eastAsia="宋体" w:cs="宋体"/>
          <w:sz w:val="24"/>
        </w:rPr>
        <w:t>（三）供货时限：</w:t>
      </w:r>
      <w:r>
        <w:rPr>
          <w:rFonts w:hint="eastAsia" w:ascii="宋体" w:hAnsi="宋体" w:eastAsia="宋体" w:cs="Times New Roman"/>
          <w:kern w:val="0"/>
          <w:sz w:val="24"/>
        </w:rPr>
        <w:t>合同签订后30日内</w:t>
      </w:r>
      <w:r>
        <w:rPr>
          <w:rFonts w:hint="eastAsia" w:ascii="宋体" w:hAnsi="宋体" w:eastAsia="宋体" w:cs="宋体"/>
          <w:sz w:val="24"/>
        </w:rPr>
        <w:t>完成</w:t>
      </w:r>
      <w:bookmarkStart w:id="21" w:name="_GoBack"/>
      <w:bookmarkEnd w:id="21"/>
      <w:r>
        <w:rPr>
          <w:rFonts w:hint="eastAsia" w:ascii="宋体" w:hAnsi="宋体" w:eastAsia="宋体" w:cs="宋体"/>
          <w:sz w:val="24"/>
        </w:rPr>
        <w:t>安装调试。</w:t>
      </w:r>
    </w:p>
    <w:p>
      <w:pPr>
        <w:adjustRightInd w:val="0"/>
        <w:snapToGrid w:val="0"/>
        <w:spacing w:line="480" w:lineRule="exact"/>
        <w:ind w:firstLine="240" w:firstLineChars="100"/>
        <w:rPr>
          <w:rFonts w:ascii="宋体" w:hAnsi="Calibri" w:eastAsia="宋体" w:cs="宋体"/>
          <w:sz w:val="24"/>
        </w:rPr>
      </w:pPr>
      <w:r>
        <w:rPr>
          <w:rFonts w:hint="eastAsia" w:ascii="宋体" w:hAnsi="宋体" w:eastAsia="宋体" w:cs="宋体"/>
          <w:sz w:val="24"/>
        </w:rPr>
        <w:t>（四）付款方式：本采购项目无预付款，安装调试结束，经甲乙双方共同验收，合格后，付至合同总额的</w:t>
      </w:r>
      <w:r>
        <w:rPr>
          <w:rFonts w:ascii="宋体" w:hAnsi="宋体" w:eastAsia="宋体" w:cs="宋体"/>
          <w:sz w:val="24"/>
        </w:rPr>
        <w:t>9</w:t>
      </w:r>
      <w:r>
        <w:rPr>
          <w:rFonts w:hint="eastAsia" w:ascii="宋体" w:hAnsi="宋体" w:eastAsia="宋体" w:cs="宋体"/>
          <w:sz w:val="24"/>
        </w:rPr>
        <w:t>0</w:t>
      </w:r>
      <w:r>
        <w:rPr>
          <w:rFonts w:ascii="宋体" w:hAnsi="宋体" w:eastAsia="宋体" w:cs="宋体"/>
          <w:sz w:val="24"/>
        </w:rPr>
        <w:t>%</w:t>
      </w:r>
      <w:r>
        <w:rPr>
          <w:rFonts w:hint="eastAsia" w:ascii="宋体" w:hAnsi="宋体" w:eastAsia="宋体" w:cs="宋体"/>
          <w:sz w:val="24"/>
        </w:rPr>
        <w:t>；壹年后无质量问题，余款无息结清。甲方付款前乙方需提供合法、有效、等额的增值税专用发票，并在发票备注栏注明“教学用”字样，否则，甲方有权拒付相应款项。</w:t>
      </w:r>
    </w:p>
    <w:p/>
    <w:p>
      <w:pPr>
        <w:rPr>
          <w:rFonts w:ascii="宋体" w:hAnsi="宋体" w:eastAsia="宋体"/>
          <w:b/>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第三章</w:t>
      </w:r>
      <w:r>
        <w:rPr>
          <w:rFonts w:hint="eastAsia" w:ascii="宋体" w:hAnsi="MS Mincho" w:eastAsia="MS Mincho" w:cs="MS Mincho"/>
          <w:b/>
          <w:sz w:val="36"/>
          <w:szCs w:val="36"/>
        </w:rPr>
        <w:t>  </w:t>
      </w:r>
      <w:r>
        <w:rPr>
          <w:rFonts w:hint="eastAsia" w:ascii="宋体" w:hAnsi="宋体" w:eastAsia="宋体" w:cs="宋体"/>
          <w:b/>
          <w:sz w:val="36"/>
          <w:szCs w:val="36"/>
        </w:rPr>
        <w:t>谈判须知</w:t>
      </w:r>
    </w:p>
    <w:p>
      <w:pPr>
        <w:spacing w:line="360" w:lineRule="exact"/>
        <w:ind w:firstLine="482" w:firstLineChars="200"/>
        <w:rPr>
          <w:rFonts w:ascii="宋体" w:hAnsi="宋体" w:cs="宋体"/>
          <w:b/>
          <w:sz w:val="24"/>
          <w:szCs w:val="24"/>
        </w:rPr>
      </w:pPr>
      <w:bookmarkStart w:id="0" w:name="_Toc120614214"/>
      <w:bookmarkStart w:id="1" w:name="_Toc20823275"/>
      <w:bookmarkStart w:id="2" w:name="_Toc16938519"/>
      <w:bookmarkStart w:id="3"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2、合格的谈判人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2.1满足采购公告中谈判人资质要求的规定。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4、谈判费用</w:t>
      </w:r>
    </w:p>
    <w:p>
      <w:pPr>
        <w:spacing w:line="360" w:lineRule="exact"/>
        <w:ind w:firstLine="480" w:firstLineChars="200"/>
        <w:rPr>
          <w:rFonts w:ascii="宋体" w:hAnsi="宋体" w:cs="宋体"/>
          <w:sz w:val="24"/>
          <w:szCs w:val="24"/>
        </w:rPr>
      </w:pPr>
      <w:r>
        <w:rPr>
          <w:rFonts w:hint="eastAsia" w:ascii="宋体" w:hAnsi="宋体" w:cs="宋体"/>
          <w:sz w:val="24"/>
          <w:szCs w:val="24"/>
        </w:rPr>
        <w:t>4.1谈判人应自行承担所有参与谈判有关费用，无论谈判过程中的做法和结果如何，采购人在任何情况下均无义务和责任承担这些费用。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5.1谈判人一旦购买了本采购文件并参与谈判，即被认为接受了本采购文件中的所有条件和规定。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（1）谈判人须知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（5）谈判文件格式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谈判人应认真阅读采购文件中所有的事项、格式、条款和规范等要求。按采购文件要求和规定编制谈判文件，并保证所提供的全部资料的真实性，以使其谈判文件对采购文件作出实质性响应，否则其风险由谈判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任何要求对采购文件进行澄清的谈判人，均应在谈判截止期前3日前以书面形式通知采购人。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8.l在谈判截止日期3日前，无论何种原因，采购人均可主动或在解答谈判人提出的澄清问题时对采购文件进行修改。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8.2采购文件的修改将在“南京邮电大学”网站上公布，并对所有谈判人具有约束力。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8.3为使谈判人编写标书有充分时间对标书文件的修改部分进行分析、研究，采购人有权推迟谈判截止日期和开标日期，并将此变更书面通知所有购买采购文件的谈判人。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三、谈判文件的编制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9、谈判语言及度量衡单位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9.1谈判人提供的谈判文件以及谈判人与采购人就有关谈判的所有来往通知、函件和文件均使用简体中文。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9.2除技术性能另有规定外，谈判文件所使用的度量衡单位，均采用国家法定计量单位。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10、谈判文件的构成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谈判人编写的谈判文件应包括下列部分：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10.1谈判文件目录；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10.2谈判函：须含谈判人的开户名称、开户银行、账号、电话、传真、E-mail等联系方式；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10.3谈判人资格证明材料；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（7）企业基本情况（经营规模、经营状况及行业优势）简介及谈判人认为有必要提供的其它文件。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10.4开标一览表：谈判人应按照采购文件中提供的格式完整、正确地填写开标一览表。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谈判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（3）开标一览表中的价格应与谈判文件中的报价表中价格一致，如不一致，不作为无效谈判处理，但评标时一律按开标一览表中价格为准。</w:t>
      </w:r>
      <w:r>
        <w:rPr>
          <w:rFonts w:hint="eastAsia" w:ascii="宋体" w:hAnsi="宋体" w:cs="宋体"/>
          <w:b/>
          <w:sz w:val="24"/>
          <w:szCs w:val="24"/>
        </w:rPr>
        <w:t>开标一览表必须盖章，并单独装在小信封内于谈判截止时间前与谈判文件一起递交。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谈判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10.6谈判人按照采购文件中商务条款提供交货安装、工期保证等方案以及产品售后服务和质量承诺，并附《商务条款响应及偏离表》；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10.7谈判人的业绩情况；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10.8谈判人认为有必要提供的声明及文件材料；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10.9谈判人应将谈判文件按上述顺序分别装订成册。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采购文件未列明，而谈判单位认为必需的费用也需列入报价。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12、谈判保证金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12.1谈判人应以人民币提交</w:t>
      </w:r>
      <w:r>
        <w:rPr>
          <w:rFonts w:hint="eastAsia" w:ascii="宋体" w:hAnsi="宋体" w:cs="宋体"/>
          <w:sz w:val="24"/>
          <w:szCs w:val="24"/>
          <w:u w:val="single"/>
        </w:rPr>
        <w:t>壹仟元（1000元）</w:t>
      </w:r>
      <w:r>
        <w:rPr>
          <w:rFonts w:hint="eastAsia" w:ascii="宋体" w:hAnsi="宋体" w:cs="宋体"/>
          <w:sz w:val="24"/>
          <w:szCs w:val="24"/>
        </w:rPr>
        <w:t>谈判保证金，作为其谈判的组成部分之一。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谈判保证金是为了保护招标人免遭因谈判人的不良行为而蒙受的损失，采购人在因谈判人的行为遭受损失时，可根据第12.5条的规定没收谈判人的谈判保证金。谈判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12.3对于未按要求提交谈判保证金的谈判，将被视为非响应性谈判而予以拒绝。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12.4谈判人的谈判保证金，将在开标结束后予以退还，但不计利息。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12.5下列任何情况发生时，谈判保证金将被没收：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(1)谈判人在开标截止日期内撤回其谈判书；</w:t>
      </w:r>
    </w:p>
    <w:p>
      <w:pPr>
        <w:spacing w:line="360" w:lineRule="exact"/>
        <w:ind w:firstLine="480" w:firstLineChars="200"/>
        <w:rPr>
          <w:rFonts w:ascii="宋体" w:hAnsi="宋体" w:cs="宋体"/>
          <w:sz w:val="24"/>
          <w:szCs w:val="24"/>
        </w:rPr>
      </w:pPr>
      <w:r>
        <w:rPr>
          <w:rFonts w:hint="eastAsia" w:ascii="宋体" w:hAnsi="宋体" w:cs="宋体"/>
          <w:sz w:val="24"/>
          <w:szCs w:val="24"/>
        </w:rPr>
        <w:t>(2)谈判人提供的有关资料、资格证明文件被确认是不真实的；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13、谈判有效期</w:t>
      </w:r>
    </w:p>
    <w:p>
      <w:pPr>
        <w:spacing w:line="360" w:lineRule="exact"/>
        <w:ind w:firstLine="480" w:firstLineChars="200"/>
        <w:rPr>
          <w:rFonts w:ascii="宋体" w:hAnsi="宋体" w:cs="宋体"/>
          <w:sz w:val="24"/>
          <w:szCs w:val="24"/>
        </w:rPr>
      </w:pPr>
      <w:r>
        <w:rPr>
          <w:rFonts w:hint="eastAsia" w:ascii="宋体" w:hAnsi="宋体" w:cs="宋体"/>
          <w:sz w:val="24"/>
          <w:szCs w:val="24"/>
        </w:rPr>
        <w:t>谈判有效期为招标人规定的开标之日后三十(30)天内有效。如果采购人在有效期之内，可向谈判人提出缩短或延长谈判有效期的要求。要求与答复均应采用书面形式。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14、谈判文件份数和签署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14.l谈判文件一式五份(正本一份，副本四份)。一旦正本和副本不符，以正本为准。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14.2谈判文件中法定代表人或其授权代表签字。授权代表须将法人代表人以书面形式出具法人代表授权书(原件)附在谈判文件中。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14.3除谈判人对错处做必要修改时，谈判文件不得行间插字、涂改或增删。如有修改错漏处，必须由谈判文件签署人签字并加盖公章。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四、谈判文件的递交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15、谈判文件的密封和标记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15.1谈判人应将谈判文件密封，封口处要贴封签并加盖谈判单位公章。不论谈判人中标与否，谈判文件均不退回。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15.2文件袋上应注明谈判项目名称、正、副本、谈判单位、授权代表姓名及联系方式。如因标注不清而产生的后果由谈判人自负。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未按要求密封和加写标记，采购人对误投或过早启封概不负责。对由此造成提前开封的谈判文件，采购人将予以拒绝，作无效谈判处理。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16、谈判截止日期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采购人收到谈判文件的时间不得迟于采购公告中规定的截止时间。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采购人可以按照规定，通过修改采购文件有权酌情延长谈判截止日期，在此情况下，谈判人的所有权利和义务以及谈判人受制的截止日期均应以延长后新的截止日期为准。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17、迟交的谈判文件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迟交的谈判文件将被拒收并原封退回。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18、谈判文件的修改和撤回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18.1谈判人在递交谈判书后，在规定的谈判截止日期前可以修改或撤回其谈判文件。修改文件必须在谈判截止时间前送达采购招标管理办公室。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18.2谈判截止日期后不可对其谈判文件作任何修改或撤回，否则其谈判保证金将被没收。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19.l采购人将在规定的时间和地址组织公开开标。谈判人法人代表或授权代表须携本人身份证原件参加公开开标。如有必要可以让谈判人有一定时间的陈述，或接收评标工作组成员的提问后退场。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谈判人授权代表查验谈判文件密封情况，确认无误后，当众拆封宣读每份谈判文件中“开标一览表”的各项内容，未列入开标一览表的内容一律不在开标时宣读。开标时未宣读的谈判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20.l公开开标后，直至通知谈判人中标为止，凡是与审查、澄清、评价和比较谈判的有关资料，均不得向谈判人或与评标无关的人员透露。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20.2谈判人试图影响评标或授予合同方面的任何尝试，可能导致该谈判人的标被废弃。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21、谈判的澄清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21.1评标期间，为有助于对谈判文件的审查、评价和比较，评标工作组有权要求谈判人对其谈判文件进行澄清，但并非对每个谈判人都作澄清要求。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21.2接到澄清要求的谈判人应派人按要求做出澄清，书面澄清的内容须由谈判人法定代表人或授权代表签署，并作为谈判文件的补充部分，但谈判的价格和实质性的内容不得做任何更改。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接到澄清要求的谈判人如未按规定做出澄清，其风险由谈判人自行承担。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22、无效谈判条款和废标条款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22.1无效谈判条款：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（1）未按要求交纳谈判保证金的；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（3）谈判人在报价时采用选择性报价；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（4）谈判人不具备采购文件中规定资格要求的；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（5）不符合法律、法规和本采购文件中规定的属无效谈判的情形。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（3）谈判人的报价均超过了采购预算的；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23.1评标工作组首先对所有合格谈判人按评标办法进行打分，根据综合得分，由高到低排列，向招标小组推荐中标候选人。最终由招标小组根据推荐的中标候选人确定中标人。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（4）恶意竞争，谈判总报价明显低于其自身合理成本且又无法提供证明的；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24.1参加谈判供应商认为采购过程和采购结果使自己的权益受到损害的，可以从采购结果公布之日起3日内，以书面形式向采购人提出质疑。非书面形式、3日之外提交以及匿名的质疑将不予受理。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24.2质疑必须以参加谈判供应商法人代表或授权代表（谈判文件中所确定的）送达的方式提交，未按上述要求提交的质疑函（含传真、电子邮件等）采购人有权不予受理。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24.3未参加谈判的供应商或在谈判活动中本身权益未受到损害或从谈判活动中受益的供应商所提出的质疑也不予受理。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24.4谈判人提出书面质疑必须有理、有据，不得恶意质疑或提交虚假质疑。否则，采购人将不予受理。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24.5采购人将在收到谈判供应商的书面质疑后在规定时间内作出答复，但答复的内容不得涉及商业秘密。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25.2采购文件、中标人的谈判文件及澄清文件等，均为签订合同的依据。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rPr>
          <w:rFonts w:ascii="宋体" w:hAnsi="宋体" w:eastAsia="宋体"/>
          <w:b/>
          <w:sz w:val="36"/>
          <w:szCs w:val="36"/>
        </w:rPr>
      </w:pPr>
      <w:r>
        <w:rPr>
          <w:rFonts w:hint="eastAsia"/>
          <w:sz w:val="24"/>
          <w:szCs w:val="24"/>
        </w:rPr>
        <w:br w:type="page"/>
      </w:r>
      <w:bookmarkEnd w:id="0"/>
      <w:bookmarkEnd w:id="1"/>
      <w:bookmarkEnd w:id="2"/>
      <w:bookmarkEnd w:id="3"/>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第四章</w:t>
      </w:r>
      <w:r>
        <w:rPr>
          <w:rFonts w:hint="eastAsia" w:ascii="宋体" w:hAnsi="MS Mincho" w:eastAsia="MS Mincho" w:cs="MS Mincho"/>
          <w:b/>
          <w:sz w:val="36"/>
          <w:szCs w:val="36"/>
        </w:rPr>
        <w:t>  </w:t>
      </w:r>
      <w:r>
        <w:rPr>
          <w:rFonts w:hint="eastAsia" w:ascii="宋体" w:hAnsi="宋体" w:eastAsia="宋体" w:cs="宋体"/>
          <w:b/>
          <w:sz w:val="36"/>
          <w:szCs w:val="36"/>
        </w:rPr>
        <w:t>合同书格式</w:t>
      </w:r>
    </w:p>
    <w:p>
      <w:pPr>
        <w:jc w:val="center"/>
        <w:rPr>
          <w:rFonts w:ascii="宋体" w:hAnsi="宋体" w:eastAsia="宋体"/>
          <w:b/>
          <w:sz w:val="36"/>
          <w:szCs w:val="36"/>
        </w:rPr>
      </w:pPr>
    </w:p>
    <w:p>
      <w:pPr>
        <w:adjustRightInd w:val="0"/>
        <w:snapToGrid w:val="0"/>
        <w:spacing w:line="440" w:lineRule="exact"/>
        <w:jc w:val="center"/>
        <w:rPr>
          <w:rFonts w:ascii="宋体" w:hAnsi="宋体" w:eastAsia="宋体" w:cs="Times New Roman"/>
          <w:b/>
          <w:snapToGrid w:val="0"/>
          <w:sz w:val="36"/>
          <w:szCs w:val="36"/>
        </w:rPr>
      </w:pPr>
      <w:bookmarkStart w:id="4" w:name="_Toc111458441"/>
      <w:r>
        <w:rPr>
          <w:rFonts w:hint="eastAsia" w:ascii="宋体" w:hAnsi="宋体" w:eastAsia="宋体" w:cs="Times New Roman"/>
          <w:b/>
          <w:snapToGrid w:val="0"/>
          <w:sz w:val="36"/>
          <w:szCs w:val="36"/>
        </w:rPr>
        <w:t>南京邮电大学通达学院</w:t>
      </w:r>
      <w:bookmarkEnd w:id="4"/>
      <w:r>
        <w:rPr>
          <w:rFonts w:hint="eastAsia" w:ascii="宋体" w:hAnsi="宋体" w:eastAsia="宋体" w:cs="Times New Roman"/>
          <w:b/>
          <w:snapToGrid w:val="0"/>
          <w:sz w:val="36"/>
          <w:szCs w:val="36"/>
        </w:rPr>
        <w:t>采购合同</w:t>
      </w:r>
    </w:p>
    <w:p>
      <w:pPr>
        <w:spacing w:line="440" w:lineRule="exact"/>
        <w:rPr>
          <w:rFonts w:ascii="宋体" w:hAnsi="宋体" w:eastAsia="宋体" w:cs="Times New Roman"/>
          <w:sz w:val="24"/>
        </w:rPr>
      </w:pPr>
      <w:r>
        <w:rPr>
          <w:rFonts w:hint="eastAsia" w:ascii="宋体" w:hAnsi="宋体" w:eastAsia="宋体" w:cs="Times New Roman"/>
          <w:sz w:val="24"/>
        </w:rPr>
        <w:t>甲方：南京邮电大学通达学院                 项目编号：</w:t>
      </w:r>
    </w:p>
    <w:p>
      <w:pPr>
        <w:spacing w:line="440" w:lineRule="exact"/>
        <w:rPr>
          <w:rFonts w:ascii="宋体" w:hAnsi="宋体" w:eastAsia="宋体" w:cs="Times New Roman"/>
          <w:sz w:val="24"/>
        </w:rPr>
      </w:pPr>
      <w:r>
        <w:rPr>
          <w:rFonts w:hint="eastAsia" w:ascii="宋体" w:hAnsi="宋体" w:eastAsia="宋体" w:cs="Times New Roman"/>
          <w:sz w:val="24"/>
        </w:rPr>
        <w:t>乙方：</w:t>
      </w:r>
    </w:p>
    <w:p>
      <w:pPr>
        <w:widowControl/>
        <w:snapToGrid w:val="0"/>
        <w:spacing w:line="440" w:lineRule="exact"/>
        <w:rPr>
          <w:rFonts w:ascii="宋体" w:hAnsi="宋体" w:eastAsia="宋体" w:cs="Times New Roman"/>
          <w:sz w:val="24"/>
        </w:rPr>
      </w:pP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    甲乙双方根据</w:t>
      </w:r>
      <w:r>
        <w:rPr>
          <w:rFonts w:hint="eastAsia" w:ascii="宋体" w:hAnsi="宋体" w:eastAsia="宋体" w:cs="Times New Roman"/>
          <w:sz w:val="24"/>
          <w:u w:val="single"/>
        </w:rPr>
        <w:t xml:space="preserve">               </w:t>
      </w:r>
      <w:r>
        <w:rPr>
          <w:rFonts w:hint="eastAsia" w:ascii="宋体" w:hAnsi="宋体" w:eastAsia="宋体" w:cs="Times New Roman"/>
          <w:sz w:val="24"/>
        </w:rPr>
        <w:t>项目招标（谈判、询价）采购结果,依据《中华人民共和国合同法》及相关法律规定，达成如下货物购销合同:</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一、货物及其数量、金额：</w:t>
      </w:r>
    </w:p>
    <w:tbl>
      <w:tblPr>
        <w:tblStyle w:val="10"/>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840"/>
        <w:gridCol w:w="335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440" w:lineRule="exact"/>
              <w:jc w:val="center"/>
              <w:rPr>
                <w:rFonts w:ascii="宋体" w:hAnsi="宋体" w:eastAsia="宋体" w:cs="Times New Roman"/>
                <w:b/>
                <w:kern w:val="0"/>
                <w:sz w:val="24"/>
              </w:rPr>
            </w:pPr>
            <w:r>
              <w:rPr>
                <w:rFonts w:hint="eastAsia" w:ascii="宋体" w:hAnsi="宋体" w:eastAsia="宋体" w:cs="Times New Roman"/>
                <w:b/>
                <w:kern w:val="0"/>
                <w:sz w:val="24"/>
              </w:rPr>
              <w:t>编号</w:t>
            </w:r>
          </w:p>
        </w:tc>
        <w:tc>
          <w:tcPr>
            <w:tcW w:w="1840" w:type="dxa"/>
            <w:shd w:val="pct10" w:color="auto" w:fill="FFFFFF"/>
            <w:vAlign w:val="center"/>
          </w:tcPr>
          <w:p>
            <w:pPr>
              <w:snapToGrid w:val="0"/>
              <w:spacing w:line="440" w:lineRule="exact"/>
              <w:jc w:val="center"/>
              <w:rPr>
                <w:rFonts w:ascii="宋体" w:hAnsi="宋体" w:eastAsia="宋体" w:cs="Times New Roman"/>
                <w:b/>
                <w:kern w:val="0"/>
                <w:sz w:val="24"/>
              </w:rPr>
            </w:pPr>
            <w:r>
              <w:rPr>
                <w:rFonts w:hint="eastAsia" w:ascii="宋体" w:hAnsi="宋体" w:eastAsia="宋体" w:cs="Times New Roman"/>
                <w:b/>
                <w:kern w:val="0"/>
                <w:sz w:val="24"/>
              </w:rPr>
              <w:t>货物名称</w:t>
            </w:r>
          </w:p>
        </w:tc>
        <w:tc>
          <w:tcPr>
            <w:tcW w:w="3353" w:type="dxa"/>
            <w:shd w:val="pct10" w:color="auto" w:fill="FFFFFF"/>
            <w:vAlign w:val="center"/>
          </w:tcPr>
          <w:p>
            <w:pPr>
              <w:snapToGrid w:val="0"/>
              <w:spacing w:line="440" w:lineRule="exact"/>
              <w:jc w:val="center"/>
              <w:rPr>
                <w:rFonts w:ascii="宋体" w:hAnsi="宋体" w:eastAsia="宋体" w:cs="Times New Roman"/>
                <w:b/>
                <w:kern w:val="0"/>
                <w:sz w:val="24"/>
              </w:rPr>
            </w:pPr>
            <w:r>
              <w:rPr>
                <w:rFonts w:hint="eastAsia" w:ascii="宋体" w:hAnsi="宋体" w:eastAsia="宋体" w:cs="Times New Roman"/>
                <w:b/>
                <w:kern w:val="0"/>
                <w:sz w:val="24"/>
              </w:rPr>
              <w:t>规格型号（品牌）</w:t>
            </w:r>
          </w:p>
        </w:tc>
        <w:tc>
          <w:tcPr>
            <w:tcW w:w="992" w:type="dxa"/>
            <w:shd w:val="pct10" w:color="auto" w:fill="FFFFFF"/>
            <w:vAlign w:val="center"/>
          </w:tcPr>
          <w:p>
            <w:pPr>
              <w:snapToGrid w:val="0"/>
              <w:spacing w:line="440" w:lineRule="exact"/>
              <w:jc w:val="center"/>
              <w:rPr>
                <w:rFonts w:ascii="宋体" w:hAnsi="宋体" w:eastAsia="宋体" w:cs="Times New Roman"/>
                <w:b/>
                <w:kern w:val="0"/>
                <w:sz w:val="24"/>
              </w:rPr>
            </w:pPr>
            <w:r>
              <w:rPr>
                <w:rFonts w:hint="eastAsia" w:ascii="宋体" w:hAnsi="宋体" w:eastAsia="宋体" w:cs="Times New Roman"/>
                <w:b/>
                <w:kern w:val="0"/>
                <w:sz w:val="24"/>
              </w:rPr>
              <w:t>数量</w:t>
            </w:r>
          </w:p>
        </w:tc>
        <w:tc>
          <w:tcPr>
            <w:tcW w:w="1276" w:type="dxa"/>
            <w:shd w:val="pct10" w:color="auto" w:fill="FFFFFF"/>
            <w:vAlign w:val="center"/>
          </w:tcPr>
          <w:p>
            <w:pPr>
              <w:snapToGrid w:val="0"/>
              <w:spacing w:line="440" w:lineRule="exact"/>
              <w:jc w:val="center"/>
              <w:rPr>
                <w:rFonts w:ascii="宋体" w:hAnsi="宋体" w:eastAsia="宋体" w:cs="Times New Roman"/>
                <w:b/>
                <w:kern w:val="0"/>
                <w:sz w:val="24"/>
              </w:rPr>
            </w:pPr>
            <w:r>
              <w:rPr>
                <w:rFonts w:hint="eastAsia" w:ascii="宋体" w:hAnsi="宋体" w:eastAsia="宋体" w:cs="Times New Roman"/>
                <w:b/>
                <w:kern w:val="0"/>
                <w:sz w:val="24"/>
              </w:rPr>
              <w:t>单价（元）</w:t>
            </w:r>
          </w:p>
        </w:tc>
        <w:tc>
          <w:tcPr>
            <w:tcW w:w="1275" w:type="dxa"/>
            <w:shd w:val="pct10" w:color="auto" w:fill="FFFFFF"/>
            <w:vAlign w:val="center"/>
          </w:tcPr>
          <w:p>
            <w:pPr>
              <w:widowControl/>
              <w:spacing w:line="440" w:lineRule="exact"/>
              <w:jc w:val="left"/>
              <w:rPr>
                <w:rFonts w:ascii="宋体" w:hAnsi="宋体" w:eastAsia="宋体" w:cs="Times New Roman"/>
                <w:b/>
                <w:kern w:val="0"/>
                <w:sz w:val="24"/>
              </w:rPr>
            </w:pPr>
            <w:r>
              <w:rPr>
                <w:rFonts w:hint="eastAsia" w:ascii="宋体" w:hAnsi="宋体" w:eastAsia="宋体" w:cs="Times New Roman"/>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440" w:lineRule="exact"/>
              <w:rPr>
                <w:rFonts w:ascii="宋体" w:hAnsi="宋体" w:eastAsia="宋体" w:cs="Times New Roman"/>
                <w:b/>
                <w:kern w:val="0"/>
                <w:sz w:val="24"/>
              </w:rPr>
            </w:pPr>
            <w:r>
              <w:rPr>
                <w:rFonts w:hint="eastAsia" w:ascii="宋体" w:hAnsi="宋体" w:eastAsia="宋体" w:cs="Times New Roman"/>
                <w:b/>
                <w:kern w:val="0"/>
                <w:sz w:val="24"/>
              </w:rPr>
              <w:t>1</w:t>
            </w:r>
          </w:p>
        </w:tc>
        <w:tc>
          <w:tcPr>
            <w:tcW w:w="1840" w:type="dxa"/>
            <w:vAlign w:val="center"/>
          </w:tcPr>
          <w:p>
            <w:pPr>
              <w:snapToGrid w:val="0"/>
              <w:spacing w:line="440" w:lineRule="exact"/>
              <w:jc w:val="center"/>
              <w:rPr>
                <w:rFonts w:ascii="宋体" w:hAnsi="宋体" w:eastAsia="宋体" w:cs="Times New Roman"/>
                <w:sz w:val="24"/>
              </w:rPr>
            </w:pPr>
          </w:p>
        </w:tc>
        <w:tc>
          <w:tcPr>
            <w:tcW w:w="3353" w:type="dxa"/>
            <w:vAlign w:val="center"/>
          </w:tcPr>
          <w:p>
            <w:pPr>
              <w:spacing w:line="440" w:lineRule="exact"/>
              <w:rPr>
                <w:rFonts w:ascii="宋体" w:hAnsi="宋体" w:eastAsia="宋体" w:cs="宋体"/>
                <w:sz w:val="24"/>
              </w:rPr>
            </w:pPr>
          </w:p>
        </w:tc>
        <w:tc>
          <w:tcPr>
            <w:tcW w:w="992" w:type="dxa"/>
            <w:vAlign w:val="center"/>
          </w:tcPr>
          <w:p>
            <w:pPr>
              <w:snapToGrid w:val="0"/>
              <w:spacing w:line="440" w:lineRule="exact"/>
              <w:ind w:firstLine="117" w:firstLineChars="49"/>
              <w:rPr>
                <w:rFonts w:ascii="宋体" w:hAnsi="宋体" w:eastAsia="宋体" w:cs="Times New Roman"/>
                <w:kern w:val="0"/>
                <w:sz w:val="24"/>
              </w:rPr>
            </w:pPr>
          </w:p>
        </w:tc>
        <w:tc>
          <w:tcPr>
            <w:tcW w:w="1276" w:type="dxa"/>
            <w:vAlign w:val="center"/>
          </w:tcPr>
          <w:p>
            <w:pPr>
              <w:spacing w:line="440" w:lineRule="exact"/>
              <w:jc w:val="center"/>
              <w:rPr>
                <w:rFonts w:ascii="宋体" w:hAnsi="宋体" w:eastAsia="宋体" w:cs="Times New Roman"/>
                <w:sz w:val="24"/>
              </w:rPr>
            </w:pPr>
          </w:p>
        </w:tc>
        <w:tc>
          <w:tcPr>
            <w:tcW w:w="1275" w:type="dxa"/>
            <w:vAlign w:val="center"/>
          </w:tcPr>
          <w:p>
            <w:pPr>
              <w:spacing w:line="440" w:lineRule="exact"/>
              <w:rPr>
                <w:rFonts w:ascii="宋体" w:hAnsi="宋体" w:eastAsia="宋体" w:cs="Times New Roman"/>
                <w:sz w:val="24"/>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440" w:lineRule="exact"/>
              <w:rPr>
                <w:rFonts w:ascii="宋体" w:hAnsi="宋体" w:eastAsia="宋体" w:cs="Times New Roman"/>
                <w:b/>
                <w:kern w:val="0"/>
                <w:sz w:val="24"/>
              </w:rPr>
            </w:pPr>
            <w:r>
              <w:rPr>
                <w:rFonts w:hint="eastAsia" w:ascii="宋体" w:hAnsi="宋体" w:eastAsia="宋体" w:cs="Times New Roman"/>
                <w:b/>
                <w:kern w:val="0"/>
                <w:sz w:val="24"/>
              </w:rPr>
              <w:t>2</w:t>
            </w:r>
          </w:p>
        </w:tc>
        <w:tc>
          <w:tcPr>
            <w:tcW w:w="1840" w:type="dxa"/>
            <w:vAlign w:val="center"/>
          </w:tcPr>
          <w:p>
            <w:pPr>
              <w:snapToGrid w:val="0"/>
              <w:spacing w:line="440" w:lineRule="exact"/>
              <w:jc w:val="center"/>
              <w:rPr>
                <w:rFonts w:ascii="宋体" w:hAnsi="宋体" w:eastAsia="宋体" w:cs="Times New Roman"/>
                <w:sz w:val="24"/>
              </w:rPr>
            </w:pPr>
          </w:p>
        </w:tc>
        <w:tc>
          <w:tcPr>
            <w:tcW w:w="3353" w:type="dxa"/>
            <w:vAlign w:val="center"/>
          </w:tcPr>
          <w:p>
            <w:pPr>
              <w:spacing w:line="440" w:lineRule="exact"/>
              <w:rPr>
                <w:rFonts w:ascii="宋体" w:hAnsi="宋体" w:eastAsia="宋体" w:cs="Times New Roman"/>
                <w:b/>
                <w:sz w:val="24"/>
              </w:rPr>
            </w:pPr>
          </w:p>
        </w:tc>
        <w:tc>
          <w:tcPr>
            <w:tcW w:w="992" w:type="dxa"/>
            <w:vAlign w:val="center"/>
          </w:tcPr>
          <w:p>
            <w:pPr>
              <w:snapToGrid w:val="0"/>
              <w:spacing w:line="440" w:lineRule="exact"/>
              <w:ind w:firstLine="118" w:firstLineChars="49"/>
              <w:rPr>
                <w:rFonts w:ascii="宋体" w:hAnsi="宋体" w:eastAsia="宋体" w:cs="Times New Roman"/>
                <w:b/>
                <w:kern w:val="0"/>
                <w:sz w:val="24"/>
              </w:rPr>
            </w:pPr>
          </w:p>
        </w:tc>
        <w:tc>
          <w:tcPr>
            <w:tcW w:w="1276" w:type="dxa"/>
            <w:vAlign w:val="center"/>
          </w:tcPr>
          <w:p>
            <w:pPr>
              <w:snapToGrid w:val="0"/>
              <w:spacing w:line="440" w:lineRule="exact"/>
              <w:ind w:firstLine="118" w:firstLineChars="49"/>
              <w:rPr>
                <w:rFonts w:ascii="宋体" w:hAnsi="宋体" w:eastAsia="宋体" w:cs="Times New Roman"/>
                <w:b/>
                <w:kern w:val="0"/>
                <w:sz w:val="24"/>
              </w:rPr>
            </w:pPr>
          </w:p>
        </w:tc>
        <w:tc>
          <w:tcPr>
            <w:tcW w:w="1275" w:type="dxa"/>
            <w:vAlign w:val="center"/>
          </w:tcPr>
          <w:p>
            <w:pPr>
              <w:spacing w:line="440" w:lineRule="exact"/>
              <w:rPr>
                <w:rFonts w:ascii="宋体" w:hAnsi="宋体" w:eastAsia="宋体" w:cs="Times New Roman"/>
                <w:sz w:val="24"/>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440" w:lineRule="exact"/>
              <w:rPr>
                <w:rFonts w:ascii="宋体" w:hAnsi="宋体" w:eastAsia="宋体" w:cs="Times New Roman"/>
                <w:b/>
                <w:kern w:val="0"/>
                <w:sz w:val="24"/>
              </w:rPr>
            </w:pPr>
            <w:r>
              <w:rPr>
                <w:rFonts w:hint="eastAsia" w:ascii="宋体" w:hAnsi="宋体" w:eastAsia="宋体" w:cs="Times New Roman"/>
                <w:b/>
                <w:kern w:val="0"/>
                <w:sz w:val="24"/>
              </w:rPr>
              <w:t>3</w:t>
            </w:r>
          </w:p>
        </w:tc>
        <w:tc>
          <w:tcPr>
            <w:tcW w:w="1840" w:type="dxa"/>
            <w:vAlign w:val="center"/>
          </w:tcPr>
          <w:p>
            <w:pPr>
              <w:snapToGrid w:val="0"/>
              <w:spacing w:line="440" w:lineRule="exact"/>
              <w:jc w:val="center"/>
              <w:rPr>
                <w:rFonts w:ascii="宋体" w:hAnsi="宋体" w:eastAsia="宋体" w:cs="Times New Roman"/>
                <w:sz w:val="24"/>
              </w:rPr>
            </w:pPr>
          </w:p>
        </w:tc>
        <w:tc>
          <w:tcPr>
            <w:tcW w:w="3353" w:type="dxa"/>
            <w:vAlign w:val="center"/>
          </w:tcPr>
          <w:p>
            <w:pPr>
              <w:spacing w:line="440" w:lineRule="exact"/>
              <w:rPr>
                <w:rFonts w:ascii="宋体" w:hAnsi="宋体" w:eastAsia="宋体" w:cs="Times New Roman"/>
                <w:b/>
                <w:sz w:val="24"/>
              </w:rPr>
            </w:pPr>
          </w:p>
        </w:tc>
        <w:tc>
          <w:tcPr>
            <w:tcW w:w="992" w:type="dxa"/>
            <w:vAlign w:val="center"/>
          </w:tcPr>
          <w:p>
            <w:pPr>
              <w:snapToGrid w:val="0"/>
              <w:spacing w:line="440" w:lineRule="exact"/>
              <w:ind w:firstLine="118" w:firstLineChars="49"/>
              <w:rPr>
                <w:rFonts w:ascii="宋体" w:hAnsi="宋体" w:eastAsia="宋体" w:cs="Times New Roman"/>
                <w:b/>
                <w:kern w:val="0"/>
                <w:sz w:val="24"/>
              </w:rPr>
            </w:pPr>
          </w:p>
        </w:tc>
        <w:tc>
          <w:tcPr>
            <w:tcW w:w="1276" w:type="dxa"/>
            <w:vAlign w:val="center"/>
          </w:tcPr>
          <w:p>
            <w:pPr>
              <w:snapToGrid w:val="0"/>
              <w:spacing w:line="440" w:lineRule="exact"/>
              <w:ind w:firstLine="118" w:firstLineChars="49"/>
              <w:rPr>
                <w:rFonts w:ascii="宋体" w:hAnsi="宋体" w:eastAsia="宋体" w:cs="Times New Roman"/>
                <w:b/>
                <w:kern w:val="0"/>
                <w:sz w:val="24"/>
              </w:rPr>
            </w:pPr>
          </w:p>
        </w:tc>
        <w:tc>
          <w:tcPr>
            <w:tcW w:w="1275" w:type="dxa"/>
            <w:vAlign w:val="center"/>
          </w:tcPr>
          <w:p>
            <w:pPr>
              <w:spacing w:line="440" w:lineRule="exact"/>
              <w:rPr>
                <w:rFonts w:ascii="宋体" w:hAnsi="宋体" w:eastAsia="宋体" w:cs="Times New Roman"/>
                <w:sz w:val="24"/>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440" w:lineRule="exact"/>
              <w:rPr>
                <w:rFonts w:ascii="宋体" w:hAnsi="宋体" w:eastAsia="宋体" w:cs="Times New Roman"/>
                <w:sz w:val="24"/>
              </w:rPr>
            </w:pPr>
            <w:r>
              <w:rPr>
                <w:rFonts w:hint="eastAsia" w:ascii="宋体" w:hAnsi="宋体" w:eastAsia="宋体" w:cs="Times New Roman"/>
                <w:b/>
                <w:sz w:val="24"/>
              </w:rPr>
              <w:t xml:space="preserve">总价（人民币大写）：                     </w:t>
            </w:r>
            <w:r>
              <w:rPr>
                <w:rFonts w:hint="eastAsia" w:ascii="宋体" w:hAnsi="宋体" w:eastAsia="宋体" w:cs="Times New Roman"/>
                <w:sz w:val="24"/>
              </w:rPr>
              <w:t>合计（小写）：</w:t>
            </w:r>
            <w:r>
              <w:rPr>
                <w:rFonts w:ascii="宋体" w:hAnsi="宋体" w:eastAsia="宋体" w:cs="Times New Roman"/>
                <w:sz w:val="24"/>
              </w:rPr>
              <w:t xml:space="preserve"> </w:t>
            </w:r>
          </w:p>
          <w:p>
            <w:pPr>
              <w:spacing w:line="440" w:lineRule="exact"/>
              <w:rPr>
                <w:rFonts w:ascii="宋体" w:hAnsi="宋体" w:eastAsia="宋体" w:cs="Times New Roman"/>
                <w:sz w:val="24"/>
              </w:rPr>
            </w:pPr>
            <w:r>
              <w:rPr>
                <w:rFonts w:hint="eastAsia" w:ascii="宋体" w:hAnsi="宋体" w:eastAsia="宋体" w:cs="Times New Roman"/>
                <w:sz w:val="24"/>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eastAsia="宋体" w:cs="宋体"/>
          <w:sz w:val="24"/>
        </w:rPr>
      </w:pPr>
      <w:r>
        <w:rPr>
          <w:rFonts w:hint="eastAsia" w:ascii="宋体" w:hAnsi="宋体" w:eastAsia="宋体" w:cs="宋体"/>
          <w:sz w:val="24"/>
        </w:rPr>
        <w:t>三、交货地点：由乙方负责运输，送至甲方指定校区，并搬运到指定楼层的房间内。</w:t>
      </w:r>
    </w:p>
    <w:p>
      <w:pPr>
        <w:widowControl/>
        <w:snapToGrid w:val="0"/>
        <w:spacing w:line="340" w:lineRule="exact"/>
        <w:rPr>
          <w:rFonts w:ascii="宋体" w:hAnsi="宋体" w:eastAsia="宋体" w:cs="宋体"/>
          <w:sz w:val="24"/>
        </w:rPr>
      </w:pPr>
      <w:r>
        <w:rPr>
          <w:rFonts w:hint="eastAsia" w:ascii="宋体" w:hAnsi="宋体" w:eastAsia="宋体" w:cs="宋体"/>
          <w:sz w:val="24"/>
        </w:rPr>
        <w:t>四、付款方式：本采购项目无预付款，调试结束，经甲乙双方共同验收，合格后，付至合同总额的</w:t>
      </w:r>
      <w:r>
        <w:rPr>
          <w:rFonts w:ascii="宋体" w:hAnsi="宋体" w:eastAsia="宋体" w:cs="宋体"/>
          <w:sz w:val="24"/>
        </w:rPr>
        <w:t>9</w:t>
      </w:r>
      <w:r>
        <w:rPr>
          <w:rFonts w:hint="eastAsia" w:ascii="宋体" w:hAnsi="宋体" w:eastAsia="宋体" w:cs="宋体"/>
          <w:sz w:val="24"/>
        </w:rPr>
        <w:t>0</w:t>
      </w:r>
      <w:r>
        <w:rPr>
          <w:rFonts w:ascii="宋体" w:hAnsi="宋体" w:eastAsia="宋体" w:cs="宋体"/>
          <w:sz w:val="24"/>
        </w:rPr>
        <w:t>%</w:t>
      </w:r>
      <w:r>
        <w:rPr>
          <w:rFonts w:hint="eastAsia" w:ascii="宋体" w:hAnsi="宋体" w:eastAsia="宋体" w:cs="宋体"/>
          <w:sz w:val="24"/>
        </w:rPr>
        <w:t>；壹年后无质量问题，余款无息结清。甲方付款前乙方需提供合法、有效、等额的增值税专用发票，并在发票备注栏注明“教学用”字样，否则，甲方有权拒付相应款项。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eastAsia="宋体" w:cs="宋体"/>
          <w:sz w:val="24"/>
        </w:rPr>
      </w:pPr>
      <w:r>
        <w:rPr>
          <w:rFonts w:hint="eastAsia" w:ascii="宋体" w:hAnsi="宋体" w:eastAsia="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eastAsia="宋体" w:cs="宋体"/>
          <w:sz w:val="24"/>
        </w:rPr>
      </w:pPr>
      <w:r>
        <w:rPr>
          <w:rFonts w:hint="eastAsia" w:ascii="宋体" w:hAnsi="宋体" w:eastAsia="宋体" w:cs="宋体"/>
          <w:sz w:val="24"/>
        </w:rPr>
        <w:t>六、质量要求、技术标准、乙方对质量负责的条件和期限：</w:t>
      </w:r>
    </w:p>
    <w:p>
      <w:pPr>
        <w:widowControl/>
        <w:snapToGrid w:val="0"/>
        <w:spacing w:line="340" w:lineRule="exact"/>
        <w:rPr>
          <w:rFonts w:ascii="宋体" w:hAnsi="宋体" w:eastAsia="宋体" w:cs="宋体"/>
          <w:sz w:val="24"/>
        </w:rPr>
      </w:pPr>
      <w:r>
        <w:rPr>
          <w:rFonts w:hint="eastAsia" w:ascii="宋体" w:hAnsi="宋体" w:eastAsia="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eastAsia="宋体" w:cs="宋体"/>
          <w:sz w:val="24"/>
        </w:rPr>
      </w:pPr>
      <w:r>
        <w:rPr>
          <w:rFonts w:hint="eastAsia" w:ascii="宋体" w:hAnsi="宋体" w:eastAsia="宋体" w:cs="宋体"/>
          <w:sz w:val="24"/>
        </w:rPr>
        <w:t>2、乙方应保证货物是全新、未使用过的原装合格正品，并完全符合生产企业或国家规定的质量、规格和性能的要求及招标书要求、谈判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eastAsia="宋体" w:cs="宋体"/>
          <w:sz w:val="24"/>
        </w:rPr>
      </w:pPr>
      <w:r>
        <w:rPr>
          <w:rFonts w:hint="eastAsia" w:ascii="宋体" w:hAnsi="宋体" w:eastAsia="宋体" w:cs="宋体"/>
          <w:sz w:val="24"/>
        </w:rPr>
        <w:t>七、验收标准：甲方应当在到货且安装调试完成后_</w:t>
      </w:r>
      <w:r>
        <w:rPr>
          <w:rFonts w:hint="eastAsia" w:ascii="宋体" w:hAnsi="宋体" w:eastAsia="宋体" w:cs="宋体"/>
          <w:sz w:val="24"/>
          <w:u w:val="single"/>
        </w:rPr>
        <w:t>10</w:t>
      </w:r>
      <w:r>
        <w:rPr>
          <w:rFonts w:hint="eastAsia" w:ascii="宋体" w:hAnsi="宋体" w:eastAsia="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eastAsia="宋体" w:cs="宋体"/>
          <w:sz w:val="24"/>
        </w:rPr>
      </w:pPr>
      <w:r>
        <w:rPr>
          <w:rFonts w:hint="eastAsia" w:ascii="宋体" w:hAnsi="宋体" w:eastAsia="宋体" w:cs="宋体"/>
          <w:sz w:val="24"/>
        </w:rPr>
        <w:t>八、 工程部分（两万元以上）需按南京邮电大学审计相关规定执行。</w:t>
      </w:r>
    </w:p>
    <w:p>
      <w:pPr>
        <w:widowControl/>
        <w:snapToGrid w:val="0"/>
        <w:spacing w:line="340" w:lineRule="exact"/>
        <w:rPr>
          <w:rFonts w:ascii="宋体" w:hAnsi="宋体" w:eastAsia="宋体" w:cs="宋体"/>
          <w:sz w:val="24"/>
        </w:rPr>
      </w:pPr>
      <w:r>
        <w:rPr>
          <w:rFonts w:hint="eastAsia" w:ascii="宋体" w:hAnsi="宋体" w:eastAsia="宋体" w:cs="宋体"/>
          <w:sz w:val="24"/>
        </w:rPr>
        <w:t>九、招谈判文件为本合同的附件，与本合同具有同等法律效力（本条款适用于招谈判项目）。甲乙双方商定的其他必要文件，附件与本合同不相符合之处，以本合同内容为准。上述文件内容互为补充。</w:t>
      </w:r>
    </w:p>
    <w:p>
      <w:pPr>
        <w:widowControl/>
        <w:snapToGrid w:val="0"/>
        <w:spacing w:line="340" w:lineRule="exact"/>
        <w:rPr>
          <w:rFonts w:ascii="宋体" w:hAnsi="宋体" w:eastAsia="宋体" w:cs="宋体"/>
          <w:sz w:val="24"/>
        </w:rPr>
      </w:pPr>
      <w:r>
        <w:rPr>
          <w:rFonts w:hint="eastAsia" w:ascii="宋体" w:hAnsi="宋体" w:eastAsia="宋体" w:cs="宋体"/>
          <w:sz w:val="24"/>
        </w:rPr>
        <w:t>十、违约责任</w:t>
      </w:r>
    </w:p>
    <w:p>
      <w:pPr>
        <w:widowControl/>
        <w:snapToGrid w:val="0"/>
        <w:spacing w:line="340" w:lineRule="exact"/>
        <w:rPr>
          <w:rFonts w:ascii="宋体" w:hAnsi="宋体" w:eastAsia="宋体" w:cs="宋体"/>
          <w:sz w:val="24"/>
        </w:rPr>
      </w:pPr>
      <w:r>
        <w:rPr>
          <w:rFonts w:hint="eastAsia" w:ascii="宋体" w:hAnsi="宋体" w:eastAsia="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eastAsia="宋体" w:cs="宋体"/>
          <w:sz w:val="24"/>
        </w:rPr>
      </w:pPr>
      <w:r>
        <w:rPr>
          <w:rFonts w:hint="eastAsia" w:ascii="宋体" w:hAnsi="宋体" w:eastAsia="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eastAsia="宋体" w:cs="宋体"/>
          <w:sz w:val="24"/>
        </w:rPr>
      </w:pPr>
      <w:r>
        <w:rPr>
          <w:rFonts w:hint="eastAsia" w:ascii="宋体" w:hAnsi="宋体" w:eastAsia="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eastAsia="宋体" w:cs="宋体"/>
          <w:sz w:val="24"/>
        </w:rPr>
      </w:pPr>
      <w:r>
        <w:rPr>
          <w:rFonts w:hint="eastAsia" w:ascii="宋体" w:hAnsi="宋体" w:eastAsia="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eastAsia="宋体" w:cs="宋体"/>
          <w:sz w:val="24"/>
        </w:rPr>
      </w:pPr>
      <w:r>
        <w:rPr>
          <w:rFonts w:hint="eastAsia" w:ascii="宋体" w:hAnsi="宋体" w:eastAsia="宋体" w:cs="宋体"/>
          <w:sz w:val="24"/>
        </w:rPr>
        <w:t>十一、 合同的变更和终止</w:t>
      </w:r>
    </w:p>
    <w:p>
      <w:pPr>
        <w:widowControl/>
        <w:snapToGrid w:val="0"/>
        <w:spacing w:line="340" w:lineRule="exact"/>
        <w:rPr>
          <w:rFonts w:ascii="宋体" w:hAnsi="宋体" w:eastAsia="宋体" w:cs="宋体"/>
          <w:sz w:val="24"/>
        </w:rPr>
      </w:pPr>
      <w:r>
        <w:rPr>
          <w:rFonts w:hint="eastAsia" w:ascii="宋体" w:hAnsi="宋体" w:eastAsia="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eastAsia="宋体" w:cs="宋体"/>
          <w:sz w:val="24"/>
        </w:rPr>
      </w:pPr>
      <w:r>
        <w:rPr>
          <w:rFonts w:hint="eastAsia" w:ascii="宋体" w:hAnsi="宋体" w:eastAsia="宋体" w:cs="宋体"/>
          <w:sz w:val="24"/>
        </w:rPr>
        <w:t>十二、合同的转让</w:t>
      </w:r>
    </w:p>
    <w:p>
      <w:pPr>
        <w:widowControl/>
        <w:snapToGrid w:val="0"/>
        <w:spacing w:line="340" w:lineRule="exact"/>
        <w:rPr>
          <w:rFonts w:ascii="宋体" w:hAnsi="宋体" w:eastAsia="宋体" w:cs="宋体"/>
          <w:sz w:val="24"/>
        </w:rPr>
      </w:pPr>
      <w:r>
        <w:rPr>
          <w:rFonts w:hint="eastAsia" w:ascii="宋体" w:hAnsi="宋体" w:eastAsia="宋体" w:cs="宋体"/>
          <w:sz w:val="24"/>
        </w:rPr>
        <w:t>乙方不得擅自部分或全部转让其应履行的合同义务。</w:t>
      </w:r>
    </w:p>
    <w:p>
      <w:pPr>
        <w:widowControl/>
        <w:snapToGrid w:val="0"/>
        <w:spacing w:line="340" w:lineRule="exact"/>
        <w:rPr>
          <w:rFonts w:ascii="宋体" w:hAnsi="宋体" w:eastAsia="宋体" w:cs="宋体"/>
          <w:sz w:val="24"/>
        </w:rPr>
      </w:pPr>
      <w:r>
        <w:rPr>
          <w:rFonts w:hint="eastAsia" w:ascii="宋体" w:hAnsi="宋体" w:eastAsia="宋体" w:cs="宋体"/>
          <w:sz w:val="24"/>
        </w:rPr>
        <w:t>十三、 争议的解决</w:t>
      </w:r>
    </w:p>
    <w:p>
      <w:pPr>
        <w:widowControl/>
        <w:snapToGrid w:val="0"/>
        <w:spacing w:line="340" w:lineRule="exact"/>
        <w:rPr>
          <w:rFonts w:ascii="宋体" w:hAnsi="宋体" w:eastAsia="宋体" w:cs="宋体"/>
          <w:sz w:val="24"/>
        </w:rPr>
      </w:pPr>
      <w:r>
        <w:rPr>
          <w:rFonts w:hint="eastAsia" w:ascii="宋体" w:hAnsi="宋体" w:eastAsia="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eastAsia="宋体" w:cs="宋体"/>
          <w:sz w:val="24"/>
        </w:rPr>
      </w:pPr>
      <w:r>
        <w:rPr>
          <w:rFonts w:hint="eastAsia" w:ascii="宋体" w:hAnsi="宋体" w:eastAsia="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eastAsia="宋体" w:cs="宋体"/>
          <w:sz w:val="24"/>
        </w:rPr>
      </w:pPr>
      <w:r>
        <w:rPr>
          <w:rFonts w:hint="eastAsia" w:ascii="宋体" w:hAnsi="宋体" w:eastAsia="宋体" w:cs="宋体"/>
          <w:sz w:val="24"/>
        </w:rPr>
        <w:t>十四、本合同由甲、乙双方共同签订，合同一式陆份，甲方伍份、乙方壹份。自双方签字、盖章之日起生效。</w:t>
      </w:r>
    </w:p>
    <w:p>
      <w:pPr>
        <w:widowControl/>
        <w:snapToGrid w:val="0"/>
        <w:spacing w:line="440" w:lineRule="exact"/>
        <w:rPr>
          <w:rFonts w:ascii="宋体" w:hAnsi="宋体" w:eastAsia="宋体" w:cs="Times New Roman"/>
          <w:sz w:val="24"/>
        </w:rPr>
      </w:pPr>
    </w:p>
    <w:p>
      <w:pPr>
        <w:widowControl/>
        <w:snapToGrid w:val="0"/>
        <w:spacing w:line="440" w:lineRule="exact"/>
        <w:rPr>
          <w:rFonts w:ascii="宋体" w:hAnsi="宋体" w:eastAsia="宋体" w:cs="Times New Roman"/>
          <w:sz w:val="24"/>
        </w:rPr>
      </w:pPr>
      <w:bookmarkStart w:id="5" w:name="_Hlt16619369"/>
      <w:bookmarkEnd w:id="5"/>
      <w:r>
        <w:rPr>
          <w:rFonts w:hint="eastAsia" w:ascii="宋体" w:hAnsi="宋体" w:eastAsia="宋体" w:cs="Times New Roman"/>
          <w:sz w:val="24"/>
        </w:rPr>
        <w:t>甲方                                         乙方</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单位名称：南京邮电大学通达学院             单位名称：</w:t>
      </w:r>
      <w:r>
        <w:rPr>
          <w:rFonts w:ascii="宋体" w:hAnsi="宋体" w:eastAsia="宋体" w:cs="Times New Roman"/>
          <w:sz w:val="24"/>
        </w:rPr>
        <w:t xml:space="preserve"> </w:t>
      </w:r>
      <w:r>
        <w:rPr>
          <w:rFonts w:hint="eastAsia" w:ascii="宋体" w:hAnsi="宋体" w:eastAsia="宋体" w:cs="Times New Roman"/>
          <w:sz w:val="24"/>
        </w:rPr>
        <w:t xml:space="preserve">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法定代表人：                               法定代表人：</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委托代理人（签字）：                       委托代理人（签字）：</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联系电话：                                 联系电话：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开户银行：交行扬州分行营业部               开户银行：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户名：南京邮电大学通达学院                 户名：</w:t>
      </w:r>
      <w:r>
        <w:rPr>
          <w:rFonts w:ascii="宋体" w:hAnsi="宋体" w:eastAsia="宋体" w:cs="Times New Roman"/>
          <w:sz w:val="24"/>
        </w:rPr>
        <w:t xml:space="preserve">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账号：</w:t>
      </w:r>
      <w:r>
        <w:rPr>
          <w:rFonts w:ascii="宋体" w:hAnsi="宋体" w:eastAsia="宋体" w:cs="Times New Roman"/>
          <w:sz w:val="24"/>
        </w:rPr>
        <w:t>395067000018150146636</w:t>
      </w:r>
      <w:r>
        <w:rPr>
          <w:rFonts w:hint="eastAsia" w:ascii="宋体" w:hAnsi="宋体" w:eastAsia="宋体" w:cs="Times New Roman"/>
          <w:sz w:val="24"/>
        </w:rPr>
        <w:t xml:space="preserve">                账号：</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税号：</w:t>
      </w:r>
      <w:r>
        <w:rPr>
          <w:rFonts w:ascii="宋体" w:hAnsi="宋体" w:eastAsia="宋体" w:cs="Times New Roman"/>
          <w:sz w:val="24"/>
        </w:rPr>
        <w:t>52320000509200179F</w:t>
      </w:r>
      <w:r>
        <w:rPr>
          <w:rFonts w:hint="eastAsia" w:ascii="宋体" w:hAnsi="宋体" w:eastAsia="宋体" w:cs="Times New Roman"/>
          <w:sz w:val="24"/>
        </w:rPr>
        <w:t xml:space="preserve">                   行号：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电话：0514-89716081                        项目联系人：</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                                           联系电话：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签约日期（即合同生效日期）：       年      月     日      </w:t>
      </w:r>
    </w:p>
    <w:p>
      <w:pPr>
        <w:rPr>
          <w:rFonts w:ascii="宋体" w:hAnsi="宋体" w:eastAsia="宋体"/>
          <w:b/>
          <w:sz w:val="36"/>
          <w:szCs w:val="36"/>
        </w:rPr>
      </w:pPr>
    </w:p>
    <w:p>
      <w:pPr>
        <w:rPr>
          <w:rFonts w:ascii="宋体" w:hAnsi="宋体" w:eastAsia="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第五章</w:t>
      </w:r>
      <w:r>
        <w:rPr>
          <w:rFonts w:hint="eastAsia" w:ascii="宋体" w:hAnsi="MS Mincho" w:eastAsia="MS Mincho" w:cs="MS Mincho"/>
          <w:b/>
          <w:sz w:val="36"/>
          <w:szCs w:val="36"/>
        </w:rPr>
        <w:t>  </w:t>
      </w:r>
      <w:r>
        <w:rPr>
          <w:rFonts w:hint="eastAsia" w:ascii="宋体" w:hAnsi="宋体" w:eastAsia="宋体" w:cs="宋体"/>
          <w:b/>
          <w:sz w:val="36"/>
          <w:szCs w:val="36"/>
        </w:rPr>
        <w:t>响应文件格式</w:t>
      </w:r>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谈判人名称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谈判主要文件目录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谈判函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谈判人资格证明材料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六、谈判人业绩情况</w:t>
      </w:r>
    </w:p>
    <w:p>
      <w:pPr>
        <w:ind w:firstLine="480" w:firstLineChars="200"/>
        <w:rPr>
          <w:rFonts w:ascii="宋体" w:hAnsi="宋体" w:cs="宋体"/>
          <w:sz w:val="24"/>
        </w:rPr>
      </w:pPr>
      <w:r>
        <w:rPr>
          <w:rFonts w:hint="eastAsia" w:ascii="宋体" w:hAnsi="宋体" w:cs="宋体"/>
          <w:sz w:val="24"/>
        </w:rPr>
        <w:t>七、谈判人其它声明及材</w:t>
      </w:r>
    </w:p>
    <w:p>
      <w:pPr>
        <w:spacing w:line="440" w:lineRule="exact"/>
        <w:rPr>
          <w:rFonts w:ascii="宋体" w:hAnsi="宋体" w:cs="宋体"/>
          <w:sz w:val="24"/>
        </w:rPr>
      </w:pPr>
    </w:p>
    <w:p>
      <w:pPr>
        <w:pStyle w:val="2"/>
        <w:ind w:firstLine="3213" w:firstLineChars="1000"/>
        <w:jc w:val="both"/>
        <w:rPr>
          <w:rFonts w:ascii="宋体" w:hAnsi="宋体" w:eastAsia="宋体" w:cs="宋体"/>
          <w:bCs w:val="0"/>
          <w:sz w:val="32"/>
          <w:szCs w:val="32"/>
        </w:rPr>
      </w:pPr>
    </w:p>
    <w:p>
      <w:pPr>
        <w:pStyle w:val="2"/>
        <w:ind w:firstLine="3213" w:firstLineChars="1000"/>
        <w:jc w:val="both"/>
        <w:rPr>
          <w:rFonts w:ascii="宋体" w:hAnsi="宋体" w:eastAsia="宋体" w:cs="宋体"/>
          <w:bCs w:val="0"/>
          <w:sz w:val="32"/>
          <w:szCs w:val="32"/>
        </w:rPr>
      </w:pPr>
    </w:p>
    <w:p>
      <w:pPr>
        <w:pStyle w:val="2"/>
        <w:ind w:firstLine="3213" w:firstLineChars="1000"/>
        <w:jc w:val="both"/>
        <w:rPr>
          <w:rFonts w:ascii="宋体" w:hAnsi="宋体" w:eastAsia="宋体" w:cs="宋体"/>
          <w:bCs w:val="0"/>
          <w:sz w:val="32"/>
          <w:szCs w:val="3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一、谈判函格式</w:t>
      </w:r>
    </w:p>
    <w:p>
      <w:pPr>
        <w:pStyle w:val="13"/>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（谈判人的名称），全权处理本次项目谈判的有关事宜。</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13"/>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2.我们完全理解贵方不一定将合同授予最低报价的谈判人。</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3"/>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4.我们同意从规定的开标日期起遵循本谈判文件，并在规定的谈判有效期期满之前均具有约束力。</w:t>
      </w:r>
    </w:p>
    <w:p>
      <w:pPr>
        <w:pStyle w:val="13"/>
        <w:spacing w:before="0" w:after="0" w:line="420" w:lineRule="exact"/>
        <w:rPr>
          <w:rFonts w:ascii="宋体" w:hAnsi="宋体" w:cs="宋体"/>
          <w:kern w:val="2"/>
          <w:szCs w:val="21"/>
        </w:rPr>
      </w:pPr>
      <w:r>
        <w:rPr>
          <w:rFonts w:hint="eastAsia" w:ascii="宋体" w:hAnsi="宋体" w:cs="宋体"/>
          <w:kern w:val="2"/>
          <w:szCs w:val="21"/>
        </w:rPr>
        <w:t>5.如果在开标后规定的谈判有效期内撤回谈判或中标后拒绝签订合同，我们的谈判保证金可被贵方没收。</w:t>
      </w:r>
    </w:p>
    <w:p>
      <w:pPr>
        <w:pStyle w:val="13"/>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6.同意向贵方提供贵方可能另外要求的与谈判有关的任何证据或资料，并保证我方已提供和将要提供的文件是真实的、准确的。</w:t>
      </w:r>
    </w:p>
    <w:p>
      <w:pPr>
        <w:pStyle w:val="13"/>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9.与本谈判有关的正式通讯地址为：</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谈判人开户行：</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谈判人授权代表姓名（签字）： </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谈判人名称（公章）： </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6" w:name="_Toc462564147"/>
      <w:bookmarkStart w:id="7" w:name="_Toc120614284"/>
      <w:r>
        <w:rPr>
          <w:rFonts w:hint="eastAsia" w:ascii="宋体" w:hAnsi="宋体" w:cs="宋体"/>
          <w:b/>
          <w:sz w:val="32"/>
          <w:szCs w:val="32"/>
        </w:rPr>
        <w:t>二、谈判人资质、业绩审核索引表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谈判人若非生产者，须提供生产者或其驻中国办事机构（或生产者授权的中国境内最高级别代理机构）针对本项目的专项授权书原件(加盖公章)或谈判人取得的产品代理证书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企业基本情况（经营规模、经营状况及行业优势）简介及谈判人认为有必要提供的其它文件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1"/>
        <w:rPr>
          <w:rFonts w:ascii="宋体" w:hAnsi="宋体" w:cs="宋体"/>
        </w:rPr>
      </w:pPr>
    </w:p>
    <w:p>
      <w:pPr>
        <w:pStyle w:val="4"/>
        <w:jc w:val="center"/>
        <w:rPr>
          <w:rFonts w:ascii="宋体" w:hAnsi="宋体" w:cs="宋体"/>
          <w:bCs w:val="0"/>
        </w:rPr>
      </w:pPr>
      <w:r>
        <w:rPr>
          <w:rFonts w:hint="eastAsia" w:ascii="宋体" w:hAnsi="宋体" w:cs="宋体"/>
        </w:rPr>
        <w:br w:type="page"/>
      </w:r>
      <w:bookmarkEnd w:id="6"/>
      <w:bookmarkStart w:id="8" w:name="_Hlt26955070"/>
      <w:bookmarkEnd w:id="8"/>
      <w:bookmarkStart w:id="9" w:name="_Hlt26671380"/>
      <w:bookmarkEnd w:id="9"/>
      <w:bookmarkStart w:id="10" w:name="_格式3__银行出具的资信证明"/>
      <w:bookmarkEnd w:id="10"/>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谈判人全称（公章):                       项目名称：</w:t>
      </w:r>
    </w:p>
    <w:tbl>
      <w:tblPr>
        <w:tblStyle w:val="10"/>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谈判人全称（公章):                       项目名称：</w:t>
      </w:r>
    </w:p>
    <w:tbl>
      <w:tblPr>
        <w:tblStyle w:val="10"/>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7"/>
      <w:bookmarkStart w:id="11" w:name="_Hlt26955054"/>
      <w:bookmarkEnd w:id="11"/>
      <w:r>
        <w:rPr>
          <w:rFonts w:hint="eastAsia" w:ascii="宋体" w:hAnsi="宋体" w:cs="宋体"/>
          <w:b/>
          <w:sz w:val="32"/>
          <w:szCs w:val="32"/>
        </w:rPr>
        <w:t>六、</w:t>
      </w:r>
      <w:bookmarkStart w:id="12" w:name="_格式2__法定代表人授权书"/>
      <w:bookmarkEnd w:id="12"/>
      <w:bookmarkStart w:id="13" w:name="_Toc120614283"/>
      <w:bookmarkStart w:id="14" w:name="_Toc22356580"/>
      <w:bookmarkStart w:id="15" w:name="_Toc23828478"/>
      <w:bookmarkStart w:id="16" w:name="_Toc26554095"/>
      <w:bookmarkStart w:id="17" w:name="_Toc49090577"/>
      <w:bookmarkStart w:id="18" w:name="_Toc460901585"/>
      <w:bookmarkStart w:id="19" w:name="_Toc513029276"/>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谈判人全称（公章):                       项目名称：</w:t>
      </w:r>
    </w:p>
    <w:tbl>
      <w:tblPr>
        <w:tblStyle w:val="10"/>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序号</w:t>
            </w:r>
          </w:p>
        </w:tc>
        <w:tc>
          <w:tcPr>
            <w:tcW w:w="2976" w:type="dxa"/>
            <w:vAlign w:val="center"/>
          </w:tcPr>
          <w:p>
            <w:pPr>
              <w:pStyle w:val="20"/>
              <w:ind w:left="420"/>
              <w:jc w:val="center"/>
              <w:rPr>
                <w:rFonts w:hAnsi="宋体"/>
                <w:color w:val="auto"/>
              </w:rPr>
            </w:pPr>
            <w:r>
              <w:rPr>
                <w:rFonts w:hint="eastAsia" w:hAnsi="宋体"/>
                <w:color w:val="auto"/>
              </w:rPr>
              <w:t>项目</w:t>
            </w:r>
          </w:p>
        </w:tc>
        <w:tc>
          <w:tcPr>
            <w:tcW w:w="1985" w:type="dxa"/>
            <w:vAlign w:val="center"/>
          </w:tcPr>
          <w:p>
            <w:pPr>
              <w:pStyle w:val="20"/>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0"/>
              <w:ind w:left="420"/>
              <w:jc w:val="center"/>
              <w:rPr>
                <w:rFonts w:hAnsi="宋体"/>
                <w:color w:val="auto"/>
              </w:rPr>
            </w:pPr>
            <w:r>
              <w:rPr>
                <w:rFonts w:hint="eastAsia" w:hAnsi="宋体"/>
                <w:color w:val="auto"/>
              </w:rPr>
              <w:t>谈判供应商的承诺或说明</w:t>
            </w:r>
          </w:p>
        </w:tc>
        <w:tc>
          <w:tcPr>
            <w:tcW w:w="1687" w:type="dxa"/>
            <w:vAlign w:val="center"/>
          </w:tcPr>
          <w:p>
            <w:pPr>
              <w:pStyle w:val="20"/>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1</w:t>
            </w:r>
          </w:p>
        </w:tc>
        <w:tc>
          <w:tcPr>
            <w:tcW w:w="2976" w:type="dxa"/>
            <w:vAlign w:val="center"/>
          </w:tcPr>
          <w:p>
            <w:pPr>
              <w:pStyle w:val="20"/>
              <w:ind w:left="420"/>
              <w:jc w:val="center"/>
              <w:rPr>
                <w:rFonts w:hAnsi="宋体"/>
                <w:color w:val="auto"/>
              </w:rPr>
            </w:pPr>
            <w:r>
              <w:rPr>
                <w:rFonts w:hint="eastAsia" w:hAnsi="宋体"/>
                <w:color w:val="auto"/>
              </w:rPr>
              <w:t>质保期</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2</w:t>
            </w:r>
          </w:p>
        </w:tc>
        <w:tc>
          <w:tcPr>
            <w:tcW w:w="2976" w:type="dxa"/>
            <w:vAlign w:val="center"/>
          </w:tcPr>
          <w:p>
            <w:pPr>
              <w:pStyle w:val="20"/>
              <w:ind w:left="420"/>
              <w:jc w:val="center"/>
              <w:rPr>
                <w:rFonts w:hAnsi="宋体"/>
                <w:color w:val="auto"/>
              </w:rPr>
            </w:pPr>
            <w:r>
              <w:rPr>
                <w:rFonts w:hint="eastAsia" w:hAnsi="宋体"/>
                <w:color w:val="auto"/>
              </w:rPr>
              <w:t>售后技术服务要求</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0"/>
              <w:ind w:left="420"/>
              <w:jc w:val="center"/>
              <w:rPr>
                <w:rFonts w:hAnsi="宋体"/>
                <w:color w:val="auto"/>
              </w:rPr>
            </w:pPr>
            <w:r>
              <w:rPr>
                <w:rFonts w:hint="eastAsia" w:hAnsi="宋体"/>
                <w:color w:val="auto"/>
              </w:rPr>
              <w:t>3</w:t>
            </w:r>
          </w:p>
        </w:tc>
        <w:tc>
          <w:tcPr>
            <w:tcW w:w="2976" w:type="dxa"/>
            <w:vAlign w:val="center"/>
          </w:tcPr>
          <w:p>
            <w:pPr>
              <w:pStyle w:val="20"/>
              <w:ind w:left="420"/>
              <w:jc w:val="center"/>
              <w:rPr>
                <w:rFonts w:hAnsi="宋体"/>
                <w:color w:val="auto"/>
              </w:rPr>
            </w:pPr>
            <w:r>
              <w:rPr>
                <w:rFonts w:hint="eastAsia" w:hAnsi="宋体"/>
                <w:color w:val="auto"/>
              </w:rPr>
              <w:t>供货期</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4</w:t>
            </w:r>
          </w:p>
        </w:tc>
        <w:tc>
          <w:tcPr>
            <w:tcW w:w="2976" w:type="dxa"/>
            <w:vAlign w:val="center"/>
          </w:tcPr>
          <w:p>
            <w:pPr>
              <w:pStyle w:val="20"/>
              <w:ind w:left="420"/>
              <w:jc w:val="center"/>
              <w:rPr>
                <w:rFonts w:hAnsi="宋体"/>
                <w:color w:val="auto"/>
              </w:rPr>
            </w:pPr>
            <w:r>
              <w:rPr>
                <w:rFonts w:hint="eastAsia" w:hAnsi="宋体"/>
                <w:color w:val="auto"/>
              </w:rPr>
              <w:t>交货方式</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5</w:t>
            </w:r>
          </w:p>
        </w:tc>
        <w:tc>
          <w:tcPr>
            <w:tcW w:w="2976" w:type="dxa"/>
            <w:vAlign w:val="center"/>
          </w:tcPr>
          <w:p>
            <w:pPr>
              <w:pStyle w:val="20"/>
              <w:ind w:left="420"/>
              <w:jc w:val="center"/>
              <w:rPr>
                <w:rFonts w:hAnsi="宋体"/>
                <w:color w:val="auto"/>
              </w:rPr>
            </w:pPr>
            <w:r>
              <w:rPr>
                <w:rFonts w:hint="eastAsia" w:hAnsi="宋体"/>
                <w:color w:val="auto"/>
              </w:rPr>
              <w:t>付款方式</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6</w:t>
            </w:r>
          </w:p>
        </w:tc>
        <w:tc>
          <w:tcPr>
            <w:tcW w:w="2976" w:type="dxa"/>
            <w:vAlign w:val="center"/>
          </w:tcPr>
          <w:p>
            <w:pPr>
              <w:pStyle w:val="20"/>
              <w:ind w:left="420"/>
              <w:jc w:val="center"/>
              <w:rPr>
                <w:rFonts w:hAnsi="宋体"/>
                <w:color w:val="auto"/>
              </w:rPr>
            </w:pPr>
            <w:r>
              <w:rPr>
                <w:rFonts w:hint="eastAsia" w:hAnsi="宋体"/>
                <w:color w:val="auto"/>
              </w:rPr>
              <w:t>谈判货币</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0"/>
              <w:ind w:left="420"/>
              <w:jc w:val="center"/>
              <w:rPr>
                <w:rFonts w:hAnsi="宋体"/>
                <w:color w:val="auto"/>
              </w:rPr>
            </w:pPr>
            <w:r>
              <w:rPr>
                <w:rFonts w:hint="eastAsia" w:hAnsi="宋体"/>
                <w:color w:val="auto"/>
              </w:rPr>
              <w:t>7</w:t>
            </w:r>
          </w:p>
        </w:tc>
        <w:tc>
          <w:tcPr>
            <w:tcW w:w="2976" w:type="dxa"/>
            <w:vAlign w:val="center"/>
          </w:tcPr>
          <w:p>
            <w:pPr>
              <w:pStyle w:val="20"/>
              <w:ind w:left="420"/>
              <w:jc w:val="center"/>
              <w:rPr>
                <w:rFonts w:hAnsi="宋体"/>
                <w:color w:val="auto"/>
              </w:rPr>
            </w:pPr>
            <w:r>
              <w:rPr>
                <w:rFonts w:hint="eastAsia" w:hAnsi="宋体"/>
                <w:color w:val="auto"/>
              </w:rPr>
              <w:t>备品备件及耗材等要求</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8</w:t>
            </w:r>
          </w:p>
        </w:tc>
        <w:tc>
          <w:tcPr>
            <w:tcW w:w="2976" w:type="dxa"/>
            <w:vAlign w:val="center"/>
          </w:tcPr>
          <w:p>
            <w:pPr>
              <w:pStyle w:val="20"/>
              <w:ind w:left="420"/>
              <w:jc w:val="center"/>
              <w:rPr>
                <w:rFonts w:hAnsi="宋体"/>
                <w:color w:val="auto"/>
              </w:rPr>
            </w:pPr>
            <w:r>
              <w:rPr>
                <w:rFonts w:hint="eastAsia" w:hAnsi="宋体"/>
                <w:color w:val="auto"/>
              </w:rPr>
              <w:t>培训方式</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p>
        </w:tc>
        <w:tc>
          <w:tcPr>
            <w:tcW w:w="2976" w:type="dxa"/>
            <w:vAlign w:val="center"/>
          </w:tcPr>
          <w:p>
            <w:pPr>
              <w:pStyle w:val="20"/>
              <w:ind w:left="420"/>
              <w:jc w:val="center"/>
              <w:rPr>
                <w:rFonts w:hAnsi="宋体"/>
                <w:color w:val="auto"/>
              </w:rPr>
            </w:pP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bl>
    <w:p>
      <w:pPr>
        <w:pStyle w:val="20"/>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0"/>
        <w:spacing w:line="360" w:lineRule="exact"/>
        <w:ind w:left="420"/>
        <w:rPr>
          <w:rFonts w:hAnsi="宋体"/>
          <w:color w:val="auto"/>
        </w:rPr>
      </w:pPr>
      <w:r>
        <w:rPr>
          <w:rFonts w:hint="eastAsia" w:hAnsi="宋体"/>
          <w:color w:val="auto"/>
        </w:rPr>
        <w:t>注：</w:t>
      </w:r>
    </w:p>
    <w:p>
      <w:pPr>
        <w:pStyle w:val="20"/>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0"/>
        <w:spacing w:line="360" w:lineRule="exact"/>
        <w:ind w:left="420" w:firstLine="480" w:firstLineChars="200"/>
        <w:rPr>
          <w:rFonts w:hAnsi="宋体"/>
          <w:color w:val="auto"/>
        </w:rPr>
      </w:pPr>
      <w:r>
        <w:rPr>
          <w:rFonts w:hint="eastAsia" w:hAnsi="宋体"/>
          <w:color w:val="auto"/>
        </w:rPr>
        <w:t>2、谈判单位根据项目添加的服务承诺、培训等也请列出；</w:t>
      </w:r>
    </w:p>
    <w:p>
      <w:pPr>
        <w:pStyle w:val="20"/>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0"/>
        <w:spacing w:line="360" w:lineRule="exact"/>
        <w:ind w:left="420" w:firstLine="480" w:firstLineChars="200"/>
        <w:rPr>
          <w:rFonts w:hAnsi="宋体"/>
          <w:color w:val="auto"/>
        </w:rPr>
      </w:pPr>
      <w:r>
        <w:rPr>
          <w:rFonts w:hint="eastAsia" w:hAnsi="宋体"/>
          <w:color w:val="auto"/>
        </w:rPr>
        <w:t>4、谈判单位必须仔细阅读招标文件中所有商务条款和相关服务要求，并对所有商务条款和服务要求偏离的条目列入上表。谈判单位必须根据所将提供服务的实际情况如实填写，评委会如发现有虚假描述的，该谈判文件视为无效。</w:t>
      </w:r>
    </w:p>
    <w:bookmarkEnd w:id="13"/>
    <w:bookmarkEnd w:id="14"/>
    <w:bookmarkEnd w:id="15"/>
    <w:bookmarkEnd w:id="16"/>
    <w:bookmarkEnd w:id="17"/>
    <w:bookmarkEnd w:id="18"/>
    <w:bookmarkEnd w:id="19"/>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七、谈判人业绩情况</w:t>
      </w:r>
    </w:p>
    <w:p>
      <w:pPr>
        <w:spacing w:line="360" w:lineRule="exact"/>
        <w:ind w:firstLine="480" w:firstLineChars="200"/>
        <w:rPr>
          <w:rFonts w:ascii="宋体" w:hAnsi="宋体" w:cs="宋体"/>
          <w:sz w:val="24"/>
          <w:szCs w:val="24"/>
        </w:rPr>
      </w:pPr>
      <w:r>
        <w:rPr>
          <w:rFonts w:hint="eastAsia" w:ascii="宋体" w:hAnsi="宋体" w:cs="宋体"/>
          <w:sz w:val="24"/>
        </w:rPr>
        <w:t>谈判人近三年内业绩材料（谈判人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九、谈判人其它声明及材料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谈判人的信誉、荣誉证书或文件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谈判人质量保证体系、环境保证体系等方面的认证证书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能说明谈判产品规格型号、性能参数的彩页资料（或能佐证谈判产品技术参数的其他宣传资料）</w:t>
      </w:r>
      <w:bookmarkStart w:id="20" w:name="_Hlt26955041"/>
      <w:bookmarkEnd w:id="20"/>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p>
      <w:pPr>
        <w:rPr>
          <w:rFonts w:ascii="宋体" w:hAnsi="宋体" w:eastAsia="宋体"/>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MS Mincho">
    <w:panose1 w:val="02020609040205080304"/>
    <w:charset w:val="80"/>
    <w:family w:val="modern"/>
    <w:pitch w:val="default"/>
    <w:sig w:usb0="A00002BF" w:usb1="68C7FCFB" w:usb2="00000010"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F5A"/>
    <w:multiLevelType w:val="multilevel"/>
    <w:tmpl w:val="08EB5F5A"/>
    <w:lvl w:ilvl="0" w:tentative="0">
      <w:start w:val="2"/>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FB65A8"/>
    <w:multiLevelType w:val="multilevel"/>
    <w:tmpl w:val="0AFB65A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E411803"/>
    <w:multiLevelType w:val="multilevel"/>
    <w:tmpl w:val="0E41180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F0E3D02"/>
    <w:multiLevelType w:val="multilevel"/>
    <w:tmpl w:val="0F0E3D02"/>
    <w:lvl w:ilvl="0" w:tentative="0">
      <w:start w:val="1"/>
      <w:numFmt w:val="decimal"/>
      <w:lvlText w:val="%1."/>
      <w:lvlJc w:val="left"/>
      <w:pPr>
        <w:tabs>
          <w:tab w:val="left" w:pos="360"/>
        </w:tabs>
        <w:ind w:left="360" w:hanging="360"/>
      </w:pPr>
      <w:rPr>
        <w:rFonts w:hint="default" w:hAnsi="Times New Roman"/>
      </w:rPr>
    </w:lvl>
    <w:lvl w:ilvl="1" w:tentative="0">
      <w:start w:val="1"/>
      <w:numFmt w:val="decimal"/>
      <w:isLgl/>
      <w:lvlText w:val="%1.%2"/>
      <w:lvlJc w:val="left"/>
      <w:pPr>
        <w:tabs>
          <w:tab w:val="left" w:pos="600"/>
        </w:tabs>
        <w:ind w:left="600" w:hanging="600"/>
      </w:pPr>
      <w:rPr>
        <w:rFonts w:hint="default" w:hAnsi="Times New Roman"/>
      </w:rPr>
    </w:lvl>
    <w:lvl w:ilvl="2" w:tentative="0">
      <w:start w:val="2"/>
      <w:numFmt w:val="decimal"/>
      <w:isLgl/>
      <w:lvlText w:val="%1.%2.%3"/>
      <w:lvlJc w:val="left"/>
      <w:pPr>
        <w:tabs>
          <w:tab w:val="left" w:pos="720"/>
        </w:tabs>
        <w:ind w:left="720" w:hanging="720"/>
      </w:pPr>
      <w:rPr>
        <w:rFonts w:hint="default" w:hAnsi="Times New Roman"/>
      </w:rPr>
    </w:lvl>
    <w:lvl w:ilvl="3" w:tentative="0">
      <w:start w:val="1"/>
      <w:numFmt w:val="decimal"/>
      <w:isLgl/>
      <w:lvlText w:val="%1.%2.%3.%4"/>
      <w:lvlJc w:val="left"/>
      <w:pPr>
        <w:tabs>
          <w:tab w:val="left" w:pos="720"/>
        </w:tabs>
        <w:ind w:left="720" w:hanging="720"/>
      </w:pPr>
      <w:rPr>
        <w:rFonts w:hint="default" w:hAnsi="Times New Roman"/>
      </w:rPr>
    </w:lvl>
    <w:lvl w:ilvl="4" w:tentative="0">
      <w:start w:val="1"/>
      <w:numFmt w:val="decimal"/>
      <w:isLgl/>
      <w:lvlText w:val="%1.%2.%3.%4.%5"/>
      <w:lvlJc w:val="left"/>
      <w:pPr>
        <w:tabs>
          <w:tab w:val="left" w:pos="1080"/>
        </w:tabs>
        <w:ind w:left="1080" w:hanging="1080"/>
      </w:pPr>
      <w:rPr>
        <w:rFonts w:hint="default" w:hAnsi="Times New Roman"/>
      </w:rPr>
    </w:lvl>
    <w:lvl w:ilvl="5" w:tentative="0">
      <w:start w:val="1"/>
      <w:numFmt w:val="decimal"/>
      <w:isLgl/>
      <w:lvlText w:val="%1.%2.%3.%4.%5.%6"/>
      <w:lvlJc w:val="left"/>
      <w:pPr>
        <w:tabs>
          <w:tab w:val="left" w:pos="1080"/>
        </w:tabs>
        <w:ind w:left="1080" w:hanging="1080"/>
      </w:pPr>
      <w:rPr>
        <w:rFonts w:hint="default" w:hAnsi="Times New Roman"/>
      </w:rPr>
    </w:lvl>
    <w:lvl w:ilvl="6" w:tentative="0">
      <w:start w:val="1"/>
      <w:numFmt w:val="decimal"/>
      <w:isLgl/>
      <w:lvlText w:val="%1.%2.%3.%4.%5.%6.%7"/>
      <w:lvlJc w:val="left"/>
      <w:pPr>
        <w:tabs>
          <w:tab w:val="left" w:pos="1440"/>
        </w:tabs>
        <w:ind w:left="1440" w:hanging="1440"/>
      </w:pPr>
      <w:rPr>
        <w:rFonts w:hint="default" w:hAnsi="Times New Roman"/>
      </w:rPr>
    </w:lvl>
    <w:lvl w:ilvl="7" w:tentative="0">
      <w:start w:val="1"/>
      <w:numFmt w:val="decimal"/>
      <w:isLgl/>
      <w:lvlText w:val="%1.%2.%3.%4.%5.%6.%7.%8"/>
      <w:lvlJc w:val="left"/>
      <w:pPr>
        <w:tabs>
          <w:tab w:val="left" w:pos="1440"/>
        </w:tabs>
        <w:ind w:left="1440" w:hanging="1440"/>
      </w:pPr>
      <w:rPr>
        <w:rFonts w:hint="default" w:hAnsi="Times New Roman"/>
      </w:rPr>
    </w:lvl>
    <w:lvl w:ilvl="8" w:tentative="0">
      <w:start w:val="1"/>
      <w:numFmt w:val="decimal"/>
      <w:isLgl/>
      <w:lvlText w:val="%1.%2.%3.%4.%5.%6.%7.%8.%9"/>
      <w:lvlJc w:val="left"/>
      <w:pPr>
        <w:tabs>
          <w:tab w:val="left" w:pos="1800"/>
        </w:tabs>
        <w:ind w:left="1800" w:hanging="1800"/>
      </w:pPr>
      <w:rPr>
        <w:rFonts w:hint="default" w:hAnsi="Times New Roman"/>
      </w:rPr>
    </w:lvl>
  </w:abstractNum>
  <w:abstractNum w:abstractNumId="4">
    <w:nsid w:val="1C4E0841"/>
    <w:multiLevelType w:val="multilevel"/>
    <w:tmpl w:val="1C4E084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FD322C4"/>
    <w:multiLevelType w:val="multilevel"/>
    <w:tmpl w:val="1FD322C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56678AE"/>
    <w:multiLevelType w:val="multilevel"/>
    <w:tmpl w:val="256678AE"/>
    <w:lvl w:ilvl="0" w:tentative="0">
      <w:start w:val="1"/>
      <w:numFmt w:val="chineseCountingThousand"/>
      <w:lvlText w:val="%1、 "/>
      <w:lvlJc w:val="left"/>
      <w:pPr>
        <w:tabs>
          <w:tab w:val="left" w:pos="480"/>
        </w:tabs>
        <w:ind w:left="1047" w:firstLine="510"/>
      </w:pPr>
      <w:rPr>
        <w:rFonts w:hint="default"/>
      </w:rPr>
    </w:lvl>
    <w:lvl w:ilvl="1" w:tentative="0">
      <w:start w:val="1"/>
      <w:numFmt w:val="chineseCountingThousand"/>
      <w:lvlText w:val="%2、 "/>
      <w:lvlJc w:val="left"/>
      <w:pPr>
        <w:tabs>
          <w:tab w:val="left" w:pos="1380"/>
        </w:tabs>
        <w:ind w:left="1380" w:hanging="480"/>
      </w:pPr>
      <w:rPr>
        <w:rFonts w:hint="default" w:cs="Times New Roman"/>
        <w:lang w:val="en-US"/>
      </w:rPr>
    </w:lvl>
    <w:lvl w:ilvl="2" w:tentative="0">
      <w:start w:val="1"/>
      <w:numFmt w:val="chineseCountingThousand"/>
      <w:lvlText w:val="(%3)"/>
      <w:lvlJc w:val="left"/>
      <w:pPr>
        <w:tabs>
          <w:tab w:val="left" w:pos="200"/>
        </w:tabs>
        <w:ind w:left="200" w:firstLine="1120"/>
      </w:pPr>
      <w:rPr>
        <w:rFonts w:hint="default"/>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80333F1"/>
    <w:multiLevelType w:val="multilevel"/>
    <w:tmpl w:val="280333F1"/>
    <w:lvl w:ilvl="0" w:tentative="0">
      <w:start w:val="1"/>
      <w:numFmt w:val="decimal"/>
      <w:lvlText w:val="2.%1"/>
      <w:lvlJc w:val="left"/>
      <w:pPr>
        <w:tabs>
          <w:tab w:val="left" w:pos="360"/>
        </w:tabs>
        <w:ind w:left="360" w:hanging="360"/>
      </w:pPr>
      <w:rPr>
        <w:rFonts w:hint="default" w:hAnsi="Times New Roman"/>
      </w:rPr>
    </w:lvl>
    <w:lvl w:ilvl="1" w:tentative="0">
      <w:start w:val="1"/>
      <w:numFmt w:val="decimal"/>
      <w:isLgl/>
      <w:lvlText w:val="2.%2"/>
      <w:lvlJc w:val="left"/>
      <w:pPr>
        <w:tabs>
          <w:tab w:val="left" w:pos="600"/>
        </w:tabs>
        <w:ind w:left="600" w:hanging="600"/>
      </w:pPr>
      <w:rPr>
        <w:rFonts w:hint="default" w:hAnsi="Times New Roman"/>
      </w:rPr>
    </w:lvl>
    <w:lvl w:ilvl="2" w:tentative="0">
      <w:start w:val="2"/>
      <w:numFmt w:val="decimal"/>
      <w:isLgl/>
      <w:lvlText w:val="%1.%2.%3"/>
      <w:lvlJc w:val="left"/>
      <w:pPr>
        <w:tabs>
          <w:tab w:val="left" w:pos="720"/>
        </w:tabs>
        <w:ind w:left="720" w:hanging="720"/>
      </w:pPr>
      <w:rPr>
        <w:rFonts w:hint="default" w:hAnsi="Times New Roman"/>
      </w:rPr>
    </w:lvl>
    <w:lvl w:ilvl="3" w:tentative="0">
      <w:start w:val="1"/>
      <w:numFmt w:val="decimal"/>
      <w:isLgl/>
      <w:lvlText w:val="%1.%2.%3.%4"/>
      <w:lvlJc w:val="left"/>
      <w:pPr>
        <w:tabs>
          <w:tab w:val="left" w:pos="720"/>
        </w:tabs>
        <w:ind w:left="720" w:hanging="720"/>
      </w:pPr>
      <w:rPr>
        <w:rFonts w:hint="default" w:hAnsi="Times New Roman"/>
      </w:rPr>
    </w:lvl>
    <w:lvl w:ilvl="4" w:tentative="0">
      <w:start w:val="1"/>
      <w:numFmt w:val="decimal"/>
      <w:isLgl/>
      <w:lvlText w:val="%1.%2.%3.%4.%5"/>
      <w:lvlJc w:val="left"/>
      <w:pPr>
        <w:tabs>
          <w:tab w:val="left" w:pos="1080"/>
        </w:tabs>
        <w:ind w:left="1080" w:hanging="1080"/>
      </w:pPr>
      <w:rPr>
        <w:rFonts w:hint="default" w:hAnsi="Times New Roman"/>
      </w:rPr>
    </w:lvl>
    <w:lvl w:ilvl="5" w:tentative="0">
      <w:start w:val="1"/>
      <w:numFmt w:val="decimal"/>
      <w:isLgl/>
      <w:lvlText w:val="%1.%2.%3.%4.%5.%6"/>
      <w:lvlJc w:val="left"/>
      <w:pPr>
        <w:tabs>
          <w:tab w:val="left" w:pos="1080"/>
        </w:tabs>
        <w:ind w:left="1080" w:hanging="1080"/>
      </w:pPr>
      <w:rPr>
        <w:rFonts w:hint="default" w:hAnsi="Times New Roman"/>
      </w:rPr>
    </w:lvl>
    <w:lvl w:ilvl="6" w:tentative="0">
      <w:start w:val="1"/>
      <w:numFmt w:val="decimal"/>
      <w:isLgl/>
      <w:lvlText w:val="%1.%2.%3.%4.%5.%6.%7"/>
      <w:lvlJc w:val="left"/>
      <w:pPr>
        <w:tabs>
          <w:tab w:val="left" w:pos="1440"/>
        </w:tabs>
        <w:ind w:left="1440" w:hanging="1440"/>
      </w:pPr>
      <w:rPr>
        <w:rFonts w:hint="default" w:hAnsi="Times New Roman"/>
      </w:rPr>
    </w:lvl>
    <w:lvl w:ilvl="7" w:tentative="0">
      <w:start w:val="1"/>
      <w:numFmt w:val="decimal"/>
      <w:isLgl/>
      <w:lvlText w:val="%1.%2.%3.%4.%5.%6.%7.%8"/>
      <w:lvlJc w:val="left"/>
      <w:pPr>
        <w:tabs>
          <w:tab w:val="left" w:pos="1440"/>
        </w:tabs>
        <w:ind w:left="1440" w:hanging="1440"/>
      </w:pPr>
      <w:rPr>
        <w:rFonts w:hint="default" w:hAnsi="Times New Roman"/>
      </w:rPr>
    </w:lvl>
    <w:lvl w:ilvl="8" w:tentative="0">
      <w:start w:val="1"/>
      <w:numFmt w:val="decimal"/>
      <w:isLgl/>
      <w:lvlText w:val="%1.%2.%3.%4.%5.%6.%7.%8.%9"/>
      <w:lvlJc w:val="left"/>
      <w:pPr>
        <w:tabs>
          <w:tab w:val="left" w:pos="1800"/>
        </w:tabs>
        <w:ind w:left="1800" w:hanging="1800"/>
      </w:pPr>
      <w:rPr>
        <w:rFonts w:hint="default" w:hAnsi="Times New Roman"/>
      </w:rPr>
    </w:lvl>
  </w:abstractNum>
  <w:abstractNum w:abstractNumId="8">
    <w:nsid w:val="2FB60CFA"/>
    <w:multiLevelType w:val="multilevel"/>
    <w:tmpl w:val="2FB60CFA"/>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36AF1E0B"/>
    <w:multiLevelType w:val="multilevel"/>
    <w:tmpl w:val="36AF1E0B"/>
    <w:lvl w:ilvl="0" w:tentative="0">
      <w:start w:val="1"/>
      <w:numFmt w:val="decimal"/>
      <w:lvlText w:val="2.3.%1"/>
      <w:lvlJc w:val="left"/>
      <w:pPr>
        <w:tabs>
          <w:tab w:val="left" w:pos="425"/>
        </w:tabs>
        <w:ind w:left="425" w:hanging="425"/>
      </w:pPr>
      <w:rPr>
        <w:rFonts w:hint="eastAsia" w:cs="Times New Roman"/>
      </w:rPr>
    </w:lvl>
    <w:lvl w:ilvl="1" w:tentative="0">
      <w:start w:val="1"/>
      <w:numFmt w:val="decimal"/>
      <w:lvlText w:val="2.%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3D246157"/>
    <w:multiLevelType w:val="multilevel"/>
    <w:tmpl w:val="3D246157"/>
    <w:lvl w:ilvl="0" w:tentative="0">
      <w:start w:val="1"/>
      <w:numFmt w:val="bullet"/>
      <w:lvlText w:val=""/>
      <w:lvlJc w:val="left"/>
      <w:pPr>
        <w:tabs>
          <w:tab w:val="left" w:pos="780"/>
        </w:tabs>
        <w:ind w:left="780" w:hanging="420"/>
      </w:pPr>
      <w:rPr>
        <w:rFonts w:hint="default" w:ascii="Wingdings" w:hAnsi="Wingding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1">
    <w:nsid w:val="4535531B"/>
    <w:multiLevelType w:val="multilevel"/>
    <w:tmpl w:val="4535531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4B414F7E"/>
    <w:multiLevelType w:val="multilevel"/>
    <w:tmpl w:val="4B414F7E"/>
    <w:lvl w:ilvl="0" w:tentative="0">
      <w:start w:val="2"/>
      <w:numFmt w:val="decimal"/>
      <w:lvlText w:val="%1"/>
      <w:lvlJc w:val="left"/>
      <w:pPr>
        <w:tabs>
          <w:tab w:val="left" w:pos="360"/>
        </w:tabs>
        <w:ind w:left="360" w:hanging="360"/>
      </w:pPr>
      <w:rPr>
        <w:rFonts w:hint="default" w:hAnsi="Calibri"/>
      </w:rPr>
    </w:lvl>
    <w:lvl w:ilvl="1" w:tentative="0">
      <w:start w:val="4"/>
      <w:numFmt w:val="decimal"/>
      <w:lvlText w:val="%1.%2"/>
      <w:lvlJc w:val="left"/>
      <w:pPr>
        <w:tabs>
          <w:tab w:val="left" w:pos="360"/>
        </w:tabs>
        <w:ind w:left="360" w:hanging="360"/>
      </w:pPr>
      <w:rPr>
        <w:rFonts w:hint="default" w:hAnsi="Calibri"/>
      </w:rPr>
    </w:lvl>
    <w:lvl w:ilvl="2" w:tentative="0">
      <w:start w:val="1"/>
      <w:numFmt w:val="decimal"/>
      <w:lvlText w:val="%1.%2.%3"/>
      <w:lvlJc w:val="left"/>
      <w:pPr>
        <w:tabs>
          <w:tab w:val="left" w:pos="720"/>
        </w:tabs>
        <w:ind w:left="720" w:hanging="720"/>
      </w:pPr>
      <w:rPr>
        <w:rFonts w:hint="default" w:hAnsi="Calibri"/>
      </w:rPr>
    </w:lvl>
    <w:lvl w:ilvl="3" w:tentative="0">
      <w:start w:val="1"/>
      <w:numFmt w:val="decimal"/>
      <w:lvlText w:val="%1.%2.%3.%4"/>
      <w:lvlJc w:val="left"/>
      <w:pPr>
        <w:tabs>
          <w:tab w:val="left" w:pos="720"/>
        </w:tabs>
        <w:ind w:left="720" w:hanging="720"/>
      </w:pPr>
      <w:rPr>
        <w:rFonts w:hint="default" w:hAnsi="Calibri"/>
      </w:rPr>
    </w:lvl>
    <w:lvl w:ilvl="4" w:tentative="0">
      <w:start w:val="1"/>
      <w:numFmt w:val="decimal"/>
      <w:lvlText w:val="%1.%2.%3.%4.%5"/>
      <w:lvlJc w:val="left"/>
      <w:pPr>
        <w:tabs>
          <w:tab w:val="left" w:pos="1080"/>
        </w:tabs>
        <w:ind w:left="1080" w:hanging="1080"/>
      </w:pPr>
      <w:rPr>
        <w:rFonts w:hint="default" w:hAnsi="Calibri"/>
      </w:rPr>
    </w:lvl>
    <w:lvl w:ilvl="5" w:tentative="0">
      <w:start w:val="1"/>
      <w:numFmt w:val="decimal"/>
      <w:lvlText w:val="%1.%2.%3.%4.%5.%6"/>
      <w:lvlJc w:val="left"/>
      <w:pPr>
        <w:tabs>
          <w:tab w:val="left" w:pos="1080"/>
        </w:tabs>
        <w:ind w:left="1080" w:hanging="1080"/>
      </w:pPr>
      <w:rPr>
        <w:rFonts w:hint="default" w:hAnsi="Calibri"/>
      </w:rPr>
    </w:lvl>
    <w:lvl w:ilvl="6" w:tentative="0">
      <w:start w:val="1"/>
      <w:numFmt w:val="decimal"/>
      <w:lvlText w:val="%1.%2.%3.%4.%5.%6.%7"/>
      <w:lvlJc w:val="left"/>
      <w:pPr>
        <w:tabs>
          <w:tab w:val="left" w:pos="1440"/>
        </w:tabs>
        <w:ind w:left="1440" w:hanging="1440"/>
      </w:pPr>
      <w:rPr>
        <w:rFonts w:hint="default" w:hAnsi="Calibri"/>
      </w:rPr>
    </w:lvl>
    <w:lvl w:ilvl="7" w:tentative="0">
      <w:start w:val="1"/>
      <w:numFmt w:val="decimal"/>
      <w:lvlText w:val="%1.%2.%3.%4.%5.%6.%7.%8"/>
      <w:lvlJc w:val="left"/>
      <w:pPr>
        <w:tabs>
          <w:tab w:val="left" w:pos="1440"/>
        </w:tabs>
        <w:ind w:left="1440" w:hanging="1440"/>
      </w:pPr>
      <w:rPr>
        <w:rFonts w:hint="default" w:hAnsi="Calibri"/>
      </w:rPr>
    </w:lvl>
    <w:lvl w:ilvl="8" w:tentative="0">
      <w:start w:val="1"/>
      <w:numFmt w:val="decimal"/>
      <w:lvlText w:val="%1.%2.%3.%4.%5.%6.%7.%8.%9"/>
      <w:lvlJc w:val="left"/>
      <w:pPr>
        <w:tabs>
          <w:tab w:val="left" w:pos="1800"/>
        </w:tabs>
        <w:ind w:left="1800" w:hanging="1800"/>
      </w:pPr>
      <w:rPr>
        <w:rFonts w:hint="default" w:hAnsi="Calibri"/>
      </w:rPr>
    </w:lvl>
  </w:abstractNum>
  <w:abstractNum w:abstractNumId="13">
    <w:nsid w:val="551E2127"/>
    <w:multiLevelType w:val="multilevel"/>
    <w:tmpl w:val="551E2127"/>
    <w:lvl w:ilvl="0" w:tentative="0">
      <w:start w:val="1"/>
      <w:numFmt w:val="chineseCountingThousand"/>
      <w:lvlText w:val="(%1)"/>
      <w:lvlJc w:val="left"/>
      <w:pPr>
        <w:tabs>
          <w:tab w:val="left" w:pos="-700"/>
        </w:tabs>
        <w:ind w:left="-700" w:firstLine="11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4552B3"/>
    <w:multiLevelType w:val="multilevel"/>
    <w:tmpl w:val="694552B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5">
    <w:nsid w:val="74C4674B"/>
    <w:multiLevelType w:val="multilevel"/>
    <w:tmpl w:val="74C4674B"/>
    <w:lvl w:ilvl="0" w:tentative="0">
      <w:start w:val="1"/>
      <w:numFmt w:val="bullet"/>
      <w:lvlText w:val=""/>
      <w:lvlJc w:val="left"/>
      <w:pPr>
        <w:tabs>
          <w:tab w:val="left" w:pos="840"/>
        </w:tabs>
        <w:ind w:left="840" w:hanging="420"/>
      </w:pPr>
      <w:rPr>
        <w:rFonts w:hint="default" w:ascii="Wingdings" w:hAnsi="Wingdings"/>
      </w:rPr>
    </w:lvl>
    <w:lvl w:ilvl="1" w:tentative="0">
      <w:start w:val="1"/>
      <w:numFmt w:val="decimal"/>
      <w:lvlText w:val="2.%2、"/>
      <w:lvlJc w:val="left"/>
      <w:pPr>
        <w:tabs>
          <w:tab w:val="left" w:pos="1412"/>
        </w:tabs>
        <w:ind w:left="1412" w:hanging="567"/>
      </w:pPr>
      <w:rPr>
        <w:rFonts w:hint="eastAsia" w:cs="Times New Roman"/>
      </w:rPr>
    </w:lvl>
    <w:lvl w:ilvl="2" w:tentative="0">
      <w:start w:val="1"/>
      <w:numFmt w:val="decimal"/>
      <w:lvlText w:val="%1.%2.%3"/>
      <w:lvlJc w:val="left"/>
      <w:pPr>
        <w:tabs>
          <w:tab w:val="left" w:pos="1838"/>
        </w:tabs>
        <w:ind w:left="1838" w:hanging="567"/>
      </w:pPr>
      <w:rPr>
        <w:rFonts w:hint="eastAsia" w:cs="Times New Roman"/>
      </w:rPr>
    </w:lvl>
    <w:lvl w:ilvl="3" w:tentative="0">
      <w:start w:val="1"/>
      <w:numFmt w:val="decimal"/>
      <w:lvlText w:val="%1.%2.%3.%4"/>
      <w:lvlJc w:val="left"/>
      <w:pPr>
        <w:tabs>
          <w:tab w:val="left" w:pos="2404"/>
        </w:tabs>
        <w:ind w:left="2404" w:hanging="708"/>
      </w:pPr>
      <w:rPr>
        <w:rFonts w:hint="eastAsia" w:cs="Times New Roman"/>
      </w:rPr>
    </w:lvl>
    <w:lvl w:ilvl="4" w:tentative="0">
      <w:start w:val="1"/>
      <w:numFmt w:val="decimal"/>
      <w:lvlText w:val="%1.%2.%3.%4.%5"/>
      <w:lvlJc w:val="left"/>
      <w:pPr>
        <w:tabs>
          <w:tab w:val="left" w:pos="2971"/>
        </w:tabs>
        <w:ind w:left="2971" w:hanging="850"/>
      </w:pPr>
      <w:rPr>
        <w:rFonts w:hint="eastAsia" w:cs="Times New Roman"/>
      </w:rPr>
    </w:lvl>
    <w:lvl w:ilvl="5" w:tentative="0">
      <w:start w:val="1"/>
      <w:numFmt w:val="decimal"/>
      <w:lvlText w:val="%1.%2.%3.%4.%5.%6"/>
      <w:lvlJc w:val="left"/>
      <w:pPr>
        <w:tabs>
          <w:tab w:val="left" w:pos="3680"/>
        </w:tabs>
        <w:ind w:left="3680" w:hanging="1134"/>
      </w:pPr>
      <w:rPr>
        <w:rFonts w:hint="eastAsia" w:cs="Times New Roman"/>
      </w:rPr>
    </w:lvl>
    <w:lvl w:ilvl="6" w:tentative="0">
      <w:start w:val="1"/>
      <w:numFmt w:val="decimal"/>
      <w:lvlText w:val="%1.%2.%3.%4.%5.%6.%7"/>
      <w:lvlJc w:val="left"/>
      <w:pPr>
        <w:tabs>
          <w:tab w:val="left" w:pos="4247"/>
        </w:tabs>
        <w:ind w:left="4247" w:hanging="1276"/>
      </w:pPr>
      <w:rPr>
        <w:rFonts w:hint="eastAsia" w:cs="Times New Roman"/>
      </w:rPr>
    </w:lvl>
    <w:lvl w:ilvl="7" w:tentative="0">
      <w:start w:val="1"/>
      <w:numFmt w:val="decimal"/>
      <w:lvlText w:val="%1.%2.%3.%4.%5.%6.%7.%8"/>
      <w:lvlJc w:val="left"/>
      <w:pPr>
        <w:tabs>
          <w:tab w:val="left" w:pos="4814"/>
        </w:tabs>
        <w:ind w:left="4814" w:hanging="1418"/>
      </w:pPr>
      <w:rPr>
        <w:rFonts w:hint="eastAsia" w:cs="Times New Roman"/>
      </w:rPr>
    </w:lvl>
    <w:lvl w:ilvl="8" w:tentative="0">
      <w:start w:val="1"/>
      <w:numFmt w:val="decimal"/>
      <w:lvlText w:val="%1.%2.%3.%4.%5.%6.%7.%8.%9"/>
      <w:lvlJc w:val="left"/>
      <w:pPr>
        <w:tabs>
          <w:tab w:val="left" w:pos="5522"/>
        </w:tabs>
        <w:ind w:left="5522" w:hanging="1700"/>
      </w:pPr>
      <w:rPr>
        <w:rFonts w:hint="eastAsia" w:cs="Times New Roman"/>
      </w:rPr>
    </w:lvl>
  </w:abstractNum>
  <w:abstractNum w:abstractNumId="16">
    <w:nsid w:val="7F9E1A4C"/>
    <w:multiLevelType w:val="multilevel"/>
    <w:tmpl w:val="7F9E1A4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7"/>
  </w:num>
  <w:num w:numId="3">
    <w:abstractNumId w:val="5"/>
  </w:num>
  <w:num w:numId="4">
    <w:abstractNumId w:val="3"/>
  </w:num>
  <w:num w:numId="5">
    <w:abstractNumId w:val="2"/>
  </w:num>
  <w:num w:numId="6">
    <w:abstractNumId w:val="9"/>
  </w:num>
  <w:num w:numId="7">
    <w:abstractNumId w:val="8"/>
  </w:num>
  <w:num w:numId="8">
    <w:abstractNumId w:val="14"/>
  </w:num>
  <w:num w:numId="9">
    <w:abstractNumId w:val="4"/>
  </w:num>
  <w:num w:numId="10">
    <w:abstractNumId w:val="1"/>
  </w:num>
  <w:num w:numId="11">
    <w:abstractNumId w:val="0"/>
  </w:num>
  <w:num w:numId="12">
    <w:abstractNumId w:val="16"/>
  </w:num>
  <w:num w:numId="13">
    <w:abstractNumId w:val="10"/>
  </w:num>
  <w:num w:numId="14">
    <w:abstractNumId w:val="12"/>
  </w:num>
  <w:num w:numId="15">
    <w:abstractNumId w:val="15"/>
  </w:num>
  <w:num w:numId="16">
    <w:abstractNumId w:val="11"/>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15B9"/>
    <w:rsid w:val="00024B42"/>
    <w:rsid w:val="00081B70"/>
    <w:rsid w:val="000E579A"/>
    <w:rsid w:val="00140432"/>
    <w:rsid w:val="00146533"/>
    <w:rsid w:val="003C15B9"/>
    <w:rsid w:val="0067261B"/>
    <w:rsid w:val="007F6C3A"/>
    <w:rsid w:val="00AA1A60"/>
    <w:rsid w:val="00BB2656"/>
    <w:rsid w:val="00D263D9"/>
    <w:rsid w:val="00D64D2C"/>
    <w:rsid w:val="00D75800"/>
    <w:rsid w:val="00D93CB0"/>
    <w:rsid w:val="00F63D95"/>
    <w:rsid w:val="00FB14F7"/>
    <w:rsid w:val="157F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link w:val="16"/>
    <w:qFormat/>
    <w:uiPriority w:val="0"/>
    <w:pPr>
      <w:jc w:val="left"/>
    </w:pPr>
    <w:rPr>
      <w:rFonts w:ascii="Times New Roman" w:hAnsi="Times New Roman" w:eastAsia="宋体" w:cs="Times New Roman"/>
    </w:rPr>
  </w:style>
  <w:style w:type="paragraph" w:styleId="6">
    <w:name w:val="Plain Text"/>
    <w:basedOn w:val="1"/>
    <w:link w:val="19"/>
    <w:qFormat/>
    <w:uiPriority w:val="0"/>
    <w:rPr>
      <w:rFonts w:ascii="宋体" w:hAnsi="Courier New" w:eastAsia="宋体" w:cs="Courier New"/>
      <w:szCs w:val="21"/>
    </w:rPr>
  </w:style>
  <w:style w:type="paragraph" w:styleId="7">
    <w:name w:val="footer"/>
    <w:basedOn w:val="1"/>
    <w:link w:val="22"/>
    <w:semiHidden/>
    <w:unhideWhenUsed/>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Times New Roman" w:hAnsi="Times New Roman" w:eastAsia="宋体" w:cs="黑体"/>
      <w:sz w:val="24"/>
    </w:rPr>
  </w:style>
  <w:style w:type="table" w:styleId="11">
    <w:name w:val="Table Grid"/>
    <w:basedOn w:val="10"/>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14">
    <w:name w:val="页眉 Char"/>
    <w:link w:val="8"/>
    <w:qFormat/>
    <w:uiPriority w:val="0"/>
    <w:rPr>
      <w:sz w:val="18"/>
      <w:szCs w:val="18"/>
    </w:rPr>
  </w:style>
  <w:style w:type="character" w:customStyle="1" w:styleId="15">
    <w:name w:val="页眉 Char1"/>
    <w:basedOn w:val="12"/>
    <w:link w:val="8"/>
    <w:semiHidden/>
    <w:qFormat/>
    <w:uiPriority w:val="99"/>
    <w:rPr>
      <w:sz w:val="18"/>
      <w:szCs w:val="18"/>
    </w:rPr>
  </w:style>
  <w:style w:type="character" w:customStyle="1" w:styleId="16">
    <w:name w:val="批注文字 Char"/>
    <w:basedOn w:val="12"/>
    <w:link w:val="5"/>
    <w:qFormat/>
    <w:uiPriority w:val="0"/>
    <w:rPr>
      <w:rFonts w:ascii="Times New Roman" w:hAnsi="Times New Roman" w:eastAsia="宋体" w:cs="Times New Roman"/>
    </w:rPr>
  </w:style>
  <w:style w:type="character" w:customStyle="1" w:styleId="17">
    <w:name w:val="标题 2 Char"/>
    <w:basedOn w:val="12"/>
    <w:link w:val="2"/>
    <w:qFormat/>
    <w:uiPriority w:val="0"/>
    <w:rPr>
      <w:rFonts w:ascii="Arial" w:hAnsi="Arial" w:eastAsia="幼圆" w:cs="Arial"/>
      <w:b/>
      <w:bCs/>
      <w:sz w:val="44"/>
      <w:szCs w:val="44"/>
    </w:rPr>
  </w:style>
  <w:style w:type="character" w:customStyle="1" w:styleId="18">
    <w:name w:val="标题 3 Char"/>
    <w:basedOn w:val="12"/>
    <w:link w:val="4"/>
    <w:qFormat/>
    <w:uiPriority w:val="0"/>
    <w:rPr>
      <w:rFonts w:ascii="Times New Roman" w:hAnsi="Times New Roman" w:eastAsia="宋体" w:cs="Times New Roman"/>
      <w:b/>
      <w:bCs/>
      <w:sz w:val="32"/>
      <w:szCs w:val="32"/>
    </w:rPr>
  </w:style>
  <w:style w:type="character" w:customStyle="1" w:styleId="19">
    <w:name w:val="纯文本 Char"/>
    <w:basedOn w:val="12"/>
    <w:link w:val="6"/>
    <w:qFormat/>
    <w:uiPriority w:val="0"/>
    <w:rPr>
      <w:rFonts w:ascii="宋体" w:hAnsi="Courier New" w:eastAsia="宋体" w:cs="Courier New"/>
      <w:szCs w:val="21"/>
    </w:rPr>
  </w:style>
  <w:style w:type="paragraph" w:customStyle="1" w:styleId="20">
    <w:name w:val="Default"/>
    <w:qFormat/>
    <w:uiPriority w:val="0"/>
    <w:pPr>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1">
    <w:name w:val="Char"/>
    <w:basedOn w:val="1"/>
    <w:qFormat/>
    <w:uiPriority w:val="0"/>
    <w:pPr>
      <w:tabs>
        <w:tab w:val="left" w:pos="360"/>
      </w:tabs>
    </w:pPr>
    <w:rPr>
      <w:rFonts w:ascii="Times New Roman" w:hAnsi="Times New Roman" w:eastAsia="宋体" w:cs="Times New Roman"/>
      <w:sz w:val="24"/>
      <w:szCs w:val="24"/>
    </w:rPr>
  </w:style>
  <w:style w:type="character" w:customStyle="1" w:styleId="22">
    <w:name w:val="页脚 Char"/>
    <w:basedOn w:val="12"/>
    <w:link w:val="7"/>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2063</Words>
  <Characters>11764</Characters>
  <Lines>98</Lines>
  <Paragraphs>27</Paragraphs>
  <TotalTime>37</TotalTime>
  <ScaleCrop>false</ScaleCrop>
  <LinksUpToDate>false</LinksUpToDate>
  <CharactersWithSpaces>13800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2019-12-19T02:03:00Z</dcterms:created>
  <dc:creator>admin</dc:creator>
  <cp:lastModifiedBy>Administrator</cp:lastModifiedBy>
  <cp:lastPrinted>2019-12-26T05:46:12Z</cp:lastPrinted>
  <dcterms:modified xsi:type="dcterms:W3CDTF">2019-12-26T05:46:18Z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