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南京邮电大学通达学院多媒体教室投影机、幕布采购项目</w:t>
      </w: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项目编号：TDHQ2020011</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2020年7月</w:t>
      </w:r>
    </w:p>
    <w:p>
      <w:pPr>
        <w:pStyle w:val="25"/>
        <w:ind w:firstLine="0"/>
        <w:jc w:val="center"/>
        <w:rPr>
          <w:rFonts w:ascii="宋体" w:hAnsi="宋体" w:cs="宋体"/>
          <w:b/>
          <w:bCs/>
          <w:sz w:val="32"/>
        </w:rPr>
      </w:pPr>
    </w:p>
    <w:p>
      <w:pPr>
        <w:pStyle w:val="25"/>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20823272"/>
      <w:bookmarkStart w:id="2" w:name="_Toc479757206"/>
      <w:bookmarkStart w:id="3" w:name="_Toc523127445"/>
      <w:bookmarkStart w:id="4" w:name="_Toc513029200"/>
      <w:bookmarkStart w:id="5" w:name="_Toc16938516"/>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start="1"/>
          <w:cols w:space="720" w:num="1"/>
        </w:sectPr>
      </w:pPr>
    </w:p>
    <w:p>
      <w:pPr>
        <w:pStyle w:val="6"/>
        <w:ind w:firstLine="883"/>
        <w:jc w:val="center"/>
        <w:rPr>
          <w:rFonts w:cs="Times New Roman"/>
          <w:b/>
          <w:sz w:val="44"/>
          <w:szCs w:val="44"/>
        </w:rPr>
      </w:pPr>
      <w:r>
        <w:rPr>
          <w:rFonts w:hint="eastAsia"/>
          <w:b/>
          <w:sz w:val="44"/>
          <w:szCs w:val="44"/>
        </w:rPr>
        <w:t>第一章  采购公告</w:t>
      </w:r>
    </w:p>
    <w:p>
      <w:pPr>
        <w:pStyle w:val="3"/>
        <w:ind w:firstLine="0" w:firstLineChars="0"/>
        <w:rPr>
          <w:rFonts w:ascii="宋体" w:hAnsi="宋体"/>
          <w:sz w:val="24"/>
          <w:szCs w:val="24"/>
        </w:rPr>
      </w:pPr>
    </w:p>
    <w:p>
      <w:pPr>
        <w:pStyle w:val="10"/>
        <w:shd w:val="clear" w:color="auto" w:fill="FFFFFF"/>
        <w:spacing w:before="0" w:beforeAutospacing="0" w:after="0" w:afterAutospacing="0"/>
        <w:ind w:firstLine="420"/>
      </w:pPr>
      <w:r>
        <w:rPr>
          <w:rFonts w:hint="eastAsia"/>
        </w:rPr>
        <w:t>根据国家招投标的法律法规和南京邮电大学的相关规定，现对南京邮电大学通达学院多媒体教室投影机、幕布采购项目进行公开招标采购，欢迎符合本次招标采购要求的企业参加投标。</w:t>
      </w:r>
    </w:p>
    <w:p>
      <w:pPr>
        <w:pStyle w:val="10"/>
        <w:shd w:val="clear" w:color="auto" w:fill="FFFFFF"/>
        <w:spacing w:before="0" w:beforeAutospacing="0" w:after="0" w:afterAutospacing="0"/>
        <w:ind w:firstLine="663" w:firstLineChars="275"/>
      </w:pPr>
      <w:r>
        <w:rPr>
          <w:rFonts w:hint="eastAsia"/>
          <w:b/>
        </w:rPr>
        <w:t>一、采购项目名称编号及预算：</w:t>
      </w:r>
      <w:r>
        <w:rPr>
          <w:rFonts w:hint="eastAsia"/>
        </w:rPr>
        <w:t>南京邮电大学通达学院多媒体教室投影机、幕布采购（项目编号TDHQ2020011），预算为19.5万。</w:t>
      </w:r>
    </w:p>
    <w:p>
      <w:pPr>
        <w:pStyle w:val="10"/>
        <w:shd w:val="clear" w:color="auto" w:fill="FFFFFF"/>
        <w:spacing w:before="0" w:beforeAutospacing="0" w:after="0" w:afterAutospacing="0"/>
        <w:ind w:firstLine="602" w:firstLineChars="250"/>
      </w:pPr>
      <w:r>
        <w:rPr>
          <w:rFonts w:hint="eastAsia"/>
          <w:b/>
        </w:rPr>
        <w:t>二、采购项目简要说明：</w:t>
      </w:r>
      <w:r>
        <w:rPr>
          <w:rFonts w:hint="eastAsia"/>
        </w:rPr>
        <w:t>1.南京邮电大学通达学院拟采购投影机、幕布一批（具体要求参见甲方采购文件）。2.项目地点：扬州市润扬南路33号。3.技术条款咨询联系人：黄老师 ，联系电话：0514-89716020。（注：如不咨询，视为已理解该技术指标。）</w:t>
      </w:r>
    </w:p>
    <w:p>
      <w:pPr>
        <w:pStyle w:val="10"/>
        <w:shd w:val="clear" w:color="auto" w:fill="FFFFFF"/>
        <w:spacing w:before="0" w:beforeAutospacing="0" w:after="0" w:afterAutospacing="0"/>
        <w:ind w:firstLine="602" w:firstLineChars="250"/>
        <w:rPr>
          <w:b/>
        </w:rPr>
      </w:pPr>
      <w:r>
        <w:rPr>
          <w:rFonts w:hint="eastAsia"/>
          <w:b/>
        </w:rPr>
        <w:t>三、投标人资质要求：</w:t>
      </w:r>
    </w:p>
    <w:p>
      <w:pPr>
        <w:pStyle w:val="10"/>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ind w:firstLine="523" w:firstLineChars="218"/>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ind w:firstLine="523" w:firstLineChars="218"/>
      </w:pPr>
      <w:r>
        <w:rPr>
          <w:rFonts w:hint="eastAsia" w:cs="Times New Roman"/>
          <w:color w:val="000000"/>
        </w:rPr>
        <w:t>3、</w:t>
      </w:r>
      <w:r>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ind w:firstLine="523" w:firstLineChars="218"/>
        <w:rPr>
          <w:bCs/>
        </w:rPr>
      </w:pPr>
      <w:r>
        <w:rPr>
          <w:rFonts w:hint="eastAsia"/>
        </w:rPr>
        <w:t>4、</w:t>
      </w:r>
      <w:r>
        <w:rPr>
          <w:rFonts w:hint="eastAsia"/>
          <w:bCs/>
        </w:rPr>
        <w:t>投标人须提供</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ind w:firstLine="525" w:firstLineChars="218"/>
        <w:rPr>
          <w:b/>
          <w:bCs/>
          <w:szCs w:val="21"/>
        </w:rPr>
      </w:pPr>
      <w:r>
        <w:rPr>
          <w:rFonts w:hint="eastAsia"/>
          <w:b/>
          <w:color w:val="000000"/>
          <w:szCs w:val="21"/>
        </w:rPr>
        <w:t>5、</w:t>
      </w:r>
      <w:r>
        <w:rPr>
          <w:rFonts w:hint="eastAsia"/>
          <w:b/>
          <w:bCs/>
          <w:szCs w:val="21"/>
        </w:rPr>
        <w:t>投标人现场踏勘： 7月6日上午10:00。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r>
        <w:rPr>
          <w:rFonts w:hint="eastAsia"/>
          <w:b/>
        </w:rPr>
        <w:t xml:space="preserve"> </w:t>
      </w:r>
    </w:p>
    <w:p>
      <w:pPr>
        <w:pStyle w:val="10"/>
        <w:shd w:val="clear" w:color="auto" w:fill="FFFFFF"/>
        <w:spacing w:before="0" w:beforeAutospacing="0" w:after="0" w:afterAutospacing="0"/>
        <w:ind w:firstLine="480" w:firstLineChars="200"/>
      </w:pPr>
      <w:r>
        <w:rPr>
          <w:rFonts w:hint="eastAsia"/>
        </w:rPr>
        <w:t>6、本项目不接受联合体投标。</w:t>
      </w:r>
    </w:p>
    <w:p>
      <w:pPr>
        <w:pStyle w:val="10"/>
        <w:shd w:val="clear" w:color="auto" w:fill="FFFFFF"/>
        <w:spacing w:before="0" w:beforeAutospacing="0" w:after="0" w:afterAutospacing="0"/>
        <w:ind w:firstLine="482" w:firstLineChars="200"/>
      </w:pPr>
      <w:r>
        <w:rPr>
          <w:rFonts w:hint="eastAsia"/>
          <w:b/>
          <w:bCs/>
        </w:rPr>
        <w:t>四、</w:t>
      </w:r>
      <w:r>
        <w:rPr>
          <w:rFonts w:hint="eastAsia"/>
          <w:b/>
        </w:rPr>
        <w:t>采购文件发布信息：</w:t>
      </w:r>
      <w:r>
        <w:rPr>
          <w:rFonts w:hint="eastAsia"/>
        </w:rPr>
        <w:t>采购文件发布时间：自采购公告在“南京邮电大学通达学院”网页上发布之日起至投标截止时间止。供应商如确定参加投标，请于投标文件递交时间到指定地点登记报名、递交投标文件。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ind w:firstLine="480"/>
      </w:pPr>
      <w:r>
        <w:rPr>
          <w:rFonts w:hint="eastAsia"/>
          <w:b/>
        </w:rPr>
        <w:t>五、投标文件接收信息：</w:t>
      </w:r>
      <w:r>
        <w:rPr>
          <w:rFonts w:hint="eastAsia"/>
        </w:rPr>
        <w:t>投标文件接收截止时间：2020年7月9日 上午10时至 11时。地点：南京邮电大学通达学院行政中心9楼910办公室。 联系人：季老师， 联系电话：0514-89716086。 采购单位不接受邮寄、快递等投标，投标文件在投标截止时间后，一律不予退回。</w:t>
      </w:r>
    </w:p>
    <w:p>
      <w:pPr>
        <w:pStyle w:val="10"/>
        <w:shd w:val="clear" w:color="auto" w:fill="FFFFFF"/>
        <w:spacing w:before="0" w:beforeAutospacing="0" w:after="0" w:afterAutospacing="0"/>
        <w:ind w:firstLine="480"/>
      </w:pPr>
      <w:r>
        <w:rPr>
          <w:rFonts w:hint="eastAsia"/>
          <w:b/>
        </w:rPr>
        <w:t>六、开标有关信息：</w:t>
      </w:r>
      <w:r>
        <w:rPr>
          <w:rFonts w:hint="eastAsia"/>
        </w:rPr>
        <w:t>具体开标时间、地点，递交标书时另行通知。</w:t>
      </w:r>
    </w:p>
    <w:p>
      <w:pPr>
        <w:pStyle w:val="10"/>
        <w:shd w:val="clear" w:color="auto" w:fill="FFFFFF"/>
        <w:spacing w:before="0" w:beforeAutospacing="0" w:after="0" w:afterAutospacing="0"/>
        <w:ind w:firstLine="480"/>
      </w:pPr>
      <w:r>
        <w:rPr>
          <w:rFonts w:hint="eastAsia"/>
          <w:b/>
        </w:rPr>
        <w:t>七、缴纳费用：</w:t>
      </w:r>
      <w:r>
        <w:rPr>
          <w:rFonts w:hint="eastAsia"/>
        </w:rPr>
        <w:t>投标单位须在投标时缴纳100元标书费，1000元项目投标保证金。</w:t>
      </w:r>
    </w:p>
    <w:p>
      <w:pPr>
        <w:pStyle w:val="10"/>
        <w:shd w:val="clear" w:color="auto" w:fill="FFFFFF"/>
        <w:spacing w:before="0" w:beforeAutospacing="0" w:after="0" w:afterAutospacing="0"/>
        <w:ind w:firstLine="480"/>
      </w:pPr>
      <w:r>
        <w:rPr>
          <w:rFonts w:hint="eastAsia"/>
          <w:b/>
        </w:rPr>
        <w:t>八、本次招标联系事项：</w:t>
      </w:r>
      <w:r>
        <w:rPr>
          <w:rFonts w:hint="eastAsia"/>
        </w:rPr>
        <w:t xml:space="preserve">联系人：李老师， 联系电话：0514-89716083。   </w:t>
      </w:r>
    </w:p>
    <w:p>
      <w:pPr>
        <w:pStyle w:val="10"/>
        <w:shd w:val="clear" w:color="auto" w:fill="FFFFFF"/>
        <w:spacing w:before="0" w:beforeAutospacing="0" w:after="0" w:afterAutospacing="0"/>
        <w:ind w:firstLine="480"/>
        <w:jc w:val="right"/>
      </w:pPr>
    </w:p>
    <w:p>
      <w:pPr>
        <w:pStyle w:val="10"/>
        <w:shd w:val="clear" w:color="auto" w:fill="FFFFFF"/>
        <w:spacing w:before="0" w:beforeAutospacing="0" w:after="0" w:afterAutospacing="0"/>
        <w:ind w:firstLine="480"/>
        <w:jc w:val="right"/>
      </w:pPr>
      <w:r>
        <w:rPr>
          <w:rFonts w:hint="eastAsia"/>
        </w:rPr>
        <w:t xml:space="preserve">南京邮电大学通达学院后勤管理处　　                                                  </w:t>
      </w:r>
    </w:p>
    <w:p>
      <w:pPr>
        <w:pStyle w:val="10"/>
        <w:shd w:val="clear" w:color="auto" w:fill="FFFFFF"/>
        <w:spacing w:before="0" w:beforeAutospacing="0" w:after="0" w:afterAutospacing="0"/>
        <w:jc w:val="right"/>
      </w:pPr>
      <w:r>
        <w:rPr>
          <w:rFonts w:hint="eastAsia"/>
        </w:rPr>
        <w:t xml:space="preserve">                                                         二〇二〇年七月三日</w:t>
      </w:r>
    </w:p>
    <w:p>
      <w:pPr>
        <w:pStyle w:val="10"/>
        <w:shd w:val="clear" w:color="auto" w:fill="FFFFFF"/>
        <w:spacing w:before="0" w:beforeAutospacing="0" w:after="0" w:afterAutospacing="0"/>
        <w:jc w:val="right"/>
      </w:pP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6938518"/>
      <w:bookmarkStart w:id="9" w:name="_Toc513029202"/>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120614214"/>
      <w:bookmarkStart w:id="13" w:name="_Toc20823275"/>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20823314"/>
      <w:bookmarkStart w:id="16" w:name="_Toc513029242"/>
      <w:bookmarkStart w:id="17" w:name="_Toc120614221"/>
      <w:bookmarkStart w:id="18" w:name="_Toc16938558"/>
      <w:bookmarkStart w:id="19" w:name="_Toc479757207"/>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513029243"/>
      <w:bookmarkStart w:id="22" w:name="_Toc16938559"/>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w:t>
      </w:r>
      <w:r>
        <w:rPr>
          <w:rFonts w:hint="eastAsia" w:ascii="宋体" w:hAnsi="宋体" w:cs="宋体"/>
          <w:sz w:val="24"/>
          <w:szCs w:val="24"/>
          <w:u w:val="single"/>
        </w:rPr>
        <w:t xml:space="preserve">                  </w:t>
      </w:r>
      <w:r>
        <w:rPr>
          <w:rFonts w:hint="eastAsia" w:ascii="宋体" w:hAnsi="宋体" w:cs="宋体"/>
          <w:sz w:val="24"/>
          <w:szCs w:val="24"/>
        </w:rPr>
        <w:t>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1"/>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Hlt16619350"/>
      <w:bookmarkStart w:id="25" w:name="_Toc479757211"/>
      <w:bookmarkStart w:id="26" w:name="_Toc20823346"/>
      <w:bookmarkStart w:id="27" w:name="_Toc120614244"/>
      <w:bookmarkStart w:id="28" w:name="_Toc462564139"/>
      <w:bookmarkStart w:id="29" w:name="_Toc1693859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电话：0514-89716081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6"/>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hAnsi="宋体" w:cs="宋体"/>
        </w:rPr>
        <w:t>签约日期（即合同生效日期）：    年   月    日</w:t>
      </w:r>
      <w:r>
        <w:rPr>
          <w:rFonts w:hint="eastAsia"/>
        </w:rPr>
        <w:br w:type="page"/>
      </w:r>
    </w:p>
    <w:p>
      <w:pPr>
        <w:pStyle w:val="6"/>
        <w:jc w:val="center"/>
        <w:rPr>
          <w:b/>
          <w:sz w:val="44"/>
          <w:szCs w:val="44"/>
        </w:rPr>
      </w:pPr>
      <w:r>
        <w:rPr>
          <w:rFonts w:hint="eastAsia"/>
          <w:b/>
          <w:sz w:val="44"/>
          <w:szCs w:val="44"/>
        </w:rPr>
        <w:t>第四章 项目需求</w:t>
      </w:r>
    </w:p>
    <w:p>
      <w:pPr>
        <w:spacing w:line="560" w:lineRule="exact"/>
        <w:ind w:firstLine="560" w:firstLineChars="200"/>
        <w:rPr>
          <w:rFonts w:ascii="宋体" w:hAnsi="宋体"/>
          <w:b/>
          <w:sz w:val="28"/>
          <w:szCs w:val="28"/>
        </w:rPr>
      </w:pPr>
      <w:r>
        <w:rPr>
          <w:rFonts w:hint="eastAsia" w:ascii="宋体" w:hAnsi="宋体"/>
          <w:sz w:val="28"/>
          <w:szCs w:val="28"/>
        </w:rPr>
        <w:t>本项目虽属于设备更换，但应包含设备的安装调试、原有设备的拆除搬移，以及安装过程中由于新旧设备尺寸不同而需要进行的调整。中标方应充分考虑旧设备撤除后所造成的损坏以及对损坏的修善。旧设备拆除后，搬移到招标方指定的位置。</w:t>
      </w:r>
      <w:r>
        <w:rPr>
          <w:rFonts w:hint="eastAsia" w:ascii="宋体" w:hAnsi="宋体"/>
          <w:b/>
          <w:sz w:val="28"/>
          <w:szCs w:val="28"/>
        </w:rPr>
        <w:t>本项目要求投标方在投标前进行现场勘查，如未进行现场勘查而引起的后续问题由中标方自行负责。</w:t>
      </w:r>
    </w:p>
    <w:p>
      <w:pPr>
        <w:spacing w:beforeLines="50" w:line="560" w:lineRule="exact"/>
        <w:ind w:firstLine="562" w:firstLineChars="200"/>
        <w:rPr>
          <w:rFonts w:ascii="宋体" w:hAnsi="宋体"/>
          <w:b/>
          <w:sz w:val="28"/>
          <w:szCs w:val="28"/>
        </w:rPr>
      </w:pPr>
      <w:r>
        <w:rPr>
          <w:rFonts w:hint="eastAsia" w:ascii="宋体" w:hAnsi="宋体"/>
          <w:b/>
          <w:sz w:val="28"/>
          <w:szCs w:val="28"/>
        </w:rPr>
        <w:t>一、采购设备参数要求</w:t>
      </w:r>
    </w:p>
    <w:p>
      <w:pPr>
        <w:spacing w:line="560" w:lineRule="exact"/>
        <w:ind w:firstLine="560" w:firstLineChars="200"/>
        <w:rPr>
          <w:rFonts w:ascii="宋体" w:hAnsi="宋体"/>
          <w:color w:val="000000"/>
          <w:sz w:val="28"/>
          <w:szCs w:val="28"/>
        </w:rPr>
      </w:pPr>
      <w:r>
        <w:rPr>
          <w:rFonts w:hint="eastAsia" w:ascii="宋体" w:hAnsi="宋体"/>
          <w:sz w:val="28"/>
          <w:szCs w:val="28"/>
        </w:rPr>
        <w:t>1</w:t>
      </w:r>
      <w:r>
        <w:rPr>
          <w:rFonts w:hint="eastAsia" w:ascii="宋体" w:hAnsi="宋体"/>
          <w:color w:val="000000"/>
          <w:sz w:val="28"/>
          <w:szCs w:val="28"/>
        </w:rPr>
        <w:t>．</w:t>
      </w:r>
      <w:r>
        <w:rPr>
          <w:rFonts w:hint="eastAsia" w:ascii="宋体" w:hAnsi="宋体"/>
          <w:b/>
          <w:sz w:val="28"/>
          <w:szCs w:val="28"/>
        </w:rPr>
        <w:t>投影机：</w:t>
      </w:r>
      <w:r>
        <w:rPr>
          <w:rFonts w:hint="eastAsia" w:ascii="宋体" w:hAnsi="宋体"/>
          <w:sz w:val="28"/>
          <w:szCs w:val="28"/>
        </w:rPr>
        <w:t>项目使用</w:t>
      </w:r>
      <w:r>
        <w:rPr>
          <w:rFonts w:hint="eastAsia" w:ascii="宋体" w:hAnsi="宋体" w:cs="宋体"/>
          <w:color w:val="000000"/>
          <w:kern w:val="0"/>
          <w:sz w:val="28"/>
          <w:szCs w:val="28"/>
        </w:rPr>
        <w:t>≥</w:t>
      </w:r>
      <w:r>
        <w:rPr>
          <w:rFonts w:hint="eastAsia" w:ascii="宋体" w:hAnsi="宋体"/>
          <w:sz w:val="28"/>
          <w:szCs w:val="28"/>
        </w:rPr>
        <w:t>4200流明亮度的高清投影机。投影机使用标准光学镜头、具有防尘设计的</w:t>
      </w:r>
      <w:r>
        <w:rPr>
          <w:rFonts w:hint="eastAsia" w:ascii="宋体" w:hAnsi="宋体"/>
          <w:color w:val="000000"/>
          <w:sz w:val="28"/>
          <w:szCs w:val="28"/>
        </w:rPr>
        <w:t>商教型投影机；使用</w:t>
      </w:r>
      <w:r>
        <w:rPr>
          <w:rFonts w:ascii="宋体" w:hAnsi="宋体"/>
          <w:color w:val="000000"/>
          <w:sz w:val="28"/>
          <w:szCs w:val="28"/>
        </w:rPr>
        <w:t>3LCD</w:t>
      </w:r>
      <w:r>
        <w:rPr>
          <w:rFonts w:hint="eastAsia" w:ascii="宋体" w:hAnsi="宋体"/>
          <w:color w:val="000000"/>
          <w:sz w:val="28"/>
          <w:szCs w:val="28"/>
        </w:rPr>
        <w:t>投影机，标准分辨率</w:t>
      </w:r>
      <w:r>
        <w:rPr>
          <w:rFonts w:hint="eastAsia" w:ascii="宋体" w:hAnsi="宋体" w:cs="宋体"/>
          <w:color w:val="000000"/>
          <w:kern w:val="0"/>
          <w:sz w:val="28"/>
          <w:szCs w:val="28"/>
        </w:rPr>
        <w:t>≥</w:t>
      </w:r>
      <w:r>
        <w:rPr>
          <w:rFonts w:hint="eastAsia" w:ascii="宋体" w:hAnsi="宋体"/>
          <w:color w:val="000000"/>
          <w:sz w:val="28"/>
          <w:szCs w:val="28"/>
        </w:rPr>
        <w:t>1920</w:t>
      </w:r>
      <w:r>
        <w:rPr>
          <w:rFonts w:ascii="宋体" w:hAnsi="宋体"/>
          <w:color w:val="000000"/>
          <w:sz w:val="28"/>
          <w:szCs w:val="28"/>
        </w:rPr>
        <w:t>*</w:t>
      </w:r>
      <w:r>
        <w:rPr>
          <w:rFonts w:hint="eastAsia" w:ascii="宋体" w:hAnsi="宋体"/>
          <w:color w:val="000000"/>
          <w:sz w:val="28"/>
          <w:szCs w:val="28"/>
        </w:rPr>
        <w:t>1200，投影横纵比为</w:t>
      </w:r>
      <w:r>
        <w:rPr>
          <w:rFonts w:ascii="宋体" w:hAnsi="宋体"/>
          <w:color w:val="000000"/>
          <w:sz w:val="28"/>
          <w:szCs w:val="28"/>
        </w:rPr>
        <w:t>16</w:t>
      </w:r>
      <w:r>
        <w:rPr>
          <w:rFonts w:hint="eastAsia" w:ascii="宋体" w:hAnsi="宋体"/>
          <w:color w:val="000000"/>
          <w:sz w:val="28"/>
          <w:szCs w:val="28"/>
        </w:rPr>
        <w:t>：</w:t>
      </w:r>
      <w:r>
        <w:rPr>
          <w:rFonts w:ascii="宋体" w:hAnsi="宋体"/>
          <w:color w:val="000000"/>
          <w:sz w:val="28"/>
          <w:szCs w:val="28"/>
        </w:rPr>
        <w:t>10</w:t>
      </w:r>
      <w:r>
        <w:rPr>
          <w:rFonts w:hint="eastAsia" w:ascii="宋体" w:hAnsi="宋体"/>
          <w:color w:val="000000"/>
          <w:sz w:val="28"/>
          <w:szCs w:val="28"/>
        </w:rPr>
        <w:t>，对比度</w:t>
      </w:r>
      <w:r>
        <w:rPr>
          <w:rFonts w:hint="eastAsia" w:ascii="宋体" w:hAnsi="宋体" w:cs="宋体"/>
          <w:color w:val="000000"/>
          <w:kern w:val="0"/>
          <w:sz w:val="28"/>
          <w:szCs w:val="28"/>
        </w:rPr>
        <w:t>≥</w:t>
      </w:r>
      <w:r>
        <w:rPr>
          <w:rFonts w:ascii="宋体" w:hAnsi="宋体"/>
          <w:color w:val="000000"/>
          <w:sz w:val="28"/>
          <w:szCs w:val="28"/>
        </w:rPr>
        <w:t>15000</w:t>
      </w: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，灯泡使用寿命</w:t>
      </w:r>
      <w:r>
        <w:rPr>
          <w:rFonts w:hint="eastAsia" w:ascii="宋体" w:hAnsi="宋体" w:cs="宋体"/>
          <w:color w:val="000000"/>
          <w:kern w:val="0"/>
          <w:sz w:val="28"/>
          <w:szCs w:val="28"/>
        </w:rPr>
        <w:t>≥</w:t>
      </w:r>
      <w:r>
        <w:rPr>
          <w:rFonts w:hint="eastAsia" w:ascii="宋体" w:hAnsi="宋体"/>
          <w:color w:val="000000"/>
          <w:sz w:val="28"/>
          <w:szCs w:val="28"/>
        </w:rPr>
        <w:t>5500小时（标准亮度模式）。输入接口HDMI≥2个（其中1个接口须支持MHL），USB接口≥2个。</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2．</w:t>
      </w:r>
      <w:r>
        <w:rPr>
          <w:rFonts w:hint="eastAsia" w:ascii="宋体" w:hAnsi="宋体"/>
          <w:b/>
          <w:color w:val="000000"/>
          <w:sz w:val="28"/>
          <w:szCs w:val="28"/>
        </w:rPr>
        <w:t>电动投影</w:t>
      </w:r>
      <w:r>
        <w:rPr>
          <w:rFonts w:hint="eastAsia" w:ascii="宋体" w:hAnsi="宋体"/>
          <w:b/>
          <w:sz w:val="28"/>
          <w:szCs w:val="28"/>
        </w:rPr>
        <w:t>幕布</w:t>
      </w:r>
      <w:r>
        <w:rPr>
          <w:rFonts w:hint="eastAsia" w:ascii="宋体" w:hAnsi="宋体"/>
          <w:sz w:val="28"/>
          <w:szCs w:val="28"/>
        </w:rPr>
        <w:t>：</w:t>
      </w:r>
      <w:r>
        <w:rPr>
          <w:rFonts w:hint="eastAsia" w:ascii="宋体" w:hAnsi="宋体"/>
          <w:color w:val="000000"/>
          <w:sz w:val="28"/>
          <w:szCs w:val="28"/>
        </w:rPr>
        <w:t>幕布使用</w:t>
      </w:r>
      <w:r>
        <w:rPr>
          <w:rFonts w:ascii="宋体" w:hAnsi="宋体"/>
          <w:color w:val="000000"/>
          <w:sz w:val="28"/>
          <w:szCs w:val="28"/>
        </w:rPr>
        <w:t>120</w:t>
      </w:r>
      <w:r>
        <w:rPr>
          <w:rFonts w:hint="eastAsia" w:ascii="宋体" w:hAnsi="宋体"/>
          <w:color w:val="000000"/>
          <w:sz w:val="28"/>
          <w:szCs w:val="28"/>
        </w:rPr>
        <w:t>寸标准</w:t>
      </w:r>
      <w:r>
        <w:rPr>
          <w:rFonts w:ascii="宋体" w:hAnsi="宋体"/>
          <w:color w:val="000000"/>
          <w:sz w:val="28"/>
          <w:szCs w:val="28"/>
        </w:rPr>
        <w:t>16</w:t>
      </w:r>
      <w:r>
        <w:rPr>
          <w:rFonts w:hint="eastAsia" w:ascii="宋体" w:hAnsi="宋体"/>
          <w:color w:val="000000"/>
          <w:sz w:val="28"/>
          <w:szCs w:val="28"/>
        </w:rPr>
        <w:t>：</w:t>
      </w:r>
      <w:r>
        <w:rPr>
          <w:rFonts w:ascii="宋体" w:hAnsi="宋体"/>
          <w:color w:val="000000"/>
          <w:sz w:val="28"/>
          <w:szCs w:val="28"/>
        </w:rPr>
        <w:t>10</w:t>
      </w:r>
      <w:r>
        <w:rPr>
          <w:rFonts w:hint="eastAsia" w:ascii="宋体" w:hAnsi="宋体"/>
          <w:color w:val="000000"/>
          <w:sz w:val="28"/>
          <w:szCs w:val="28"/>
        </w:rPr>
        <w:t>电动白塑幕布，在现有位置进行安装。如若尺寸不符合要求，在现有位置进行改装，投标方的报价应包含改造费、材料费等可能产生的费用。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b/>
          <w:color w:val="000000"/>
          <w:sz w:val="28"/>
          <w:szCs w:val="28"/>
        </w:rPr>
        <w:t>集中控制系统模块</w:t>
      </w:r>
      <w:r>
        <w:rPr>
          <w:rFonts w:hint="eastAsia" w:ascii="宋体" w:hAnsi="宋体"/>
          <w:color w:val="000000"/>
          <w:sz w:val="28"/>
          <w:szCs w:val="28"/>
        </w:rPr>
        <w:t>：因本次项目采购的投影机为高清设备，需对现有的集中控制系统模块进行增容，增加HDMI接口，以及配套的线材，以减少音视频传输过程中带来的损耗。</w:t>
      </w:r>
    </w:p>
    <w:p>
      <w:pPr>
        <w:spacing w:beforeLines="50" w:line="360" w:lineRule="auto"/>
        <w:ind w:firstLine="551" w:firstLineChars="196"/>
        <w:rPr>
          <w:b/>
          <w:sz w:val="28"/>
          <w:szCs w:val="28"/>
        </w:rPr>
      </w:pPr>
      <w:r>
        <w:rPr>
          <w:rFonts w:hint="eastAsia"/>
          <w:b/>
          <w:sz w:val="28"/>
          <w:szCs w:val="28"/>
        </w:rPr>
        <w:t>二、采购设备清单</w:t>
      </w:r>
    </w:p>
    <w:tbl>
      <w:tblPr>
        <w:tblStyle w:val="11"/>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3554"/>
        <w:gridCol w:w="884"/>
        <w:gridCol w:w="78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8"/>
                <w:szCs w:val="28"/>
              </w:rPr>
            </w:pPr>
            <w:r>
              <w:rPr>
                <w:rFonts w:hint="eastAsia" w:ascii="宋体" w:hAnsi="宋体" w:cs="宋体"/>
                <w:b/>
                <w:kern w:val="0"/>
                <w:sz w:val="28"/>
                <w:szCs w:val="28"/>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8"/>
                <w:szCs w:val="28"/>
              </w:rPr>
            </w:pPr>
            <w:r>
              <w:rPr>
                <w:rFonts w:hint="eastAsia" w:ascii="宋体" w:hAnsi="宋体" w:cs="宋体"/>
                <w:b/>
                <w:kern w:val="0"/>
                <w:sz w:val="28"/>
                <w:szCs w:val="28"/>
              </w:rPr>
              <w:t>设备名称</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8"/>
                <w:szCs w:val="28"/>
              </w:rPr>
            </w:pPr>
            <w:r>
              <w:rPr>
                <w:rFonts w:hint="eastAsia" w:ascii="宋体" w:hAnsi="宋体" w:cs="宋体"/>
                <w:b/>
                <w:kern w:val="0"/>
                <w:sz w:val="28"/>
                <w:szCs w:val="28"/>
              </w:rPr>
              <w:t>技术参数</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8"/>
                <w:szCs w:val="28"/>
              </w:rPr>
            </w:pPr>
            <w:r>
              <w:rPr>
                <w:rFonts w:hint="eastAsia" w:ascii="宋体" w:cs="宋体"/>
                <w:b/>
                <w:kern w:val="0"/>
                <w:sz w:val="28"/>
                <w:szCs w:val="28"/>
              </w:rPr>
              <w:t>数量</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8"/>
                <w:szCs w:val="28"/>
              </w:rPr>
            </w:pPr>
            <w:r>
              <w:rPr>
                <w:rFonts w:hint="eastAsia" w:ascii="宋体" w:cs="宋体"/>
                <w:b/>
                <w:kern w:val="0"/>
                <w:sz w:val="28"/>
                <w:szCs w:val="28"/>
              </w:rPr>
              <w:t>单位</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kern w:val="0"/>
                <w:sz w:val="28"/>
                <w:szCs w:val="28"/>
              </w:rPr>
            </w:pPr>
            <w:r>
              <w:rPr>
                <w:rFonts w:hint="eastAsia" w:ascii="宋体" w:hAnsi="宋体" w:cs="宋体"/>
                <w:b/>
                <w:kern w:val="0"/>
                <w:sz w:val="28"/>
                <w:szCs w:val="28"/>
              </w:rPr>
              <w:t>推荐</w:t>
            </w:r>
          </w:p>
          <w:p>
            <w:pPr>
              <w:widowControl/>
              <w:spacing w:line="0" w:lineRule="atLeast"/>
              <w:jc w:val="center"/>
              <w:rPr>
                <w:rFonts w:ascii="宋体" w:cs="宋体"/>
                <w:b/>
                <w:kern w:val="0"/>
                <w:sz w:val="28"/>
                <w:szCs w:val="28"/>
              </w:rPr>
            </w:pPr>
            <w:r>
              <w:rPr>
                <w:rFonts w:hint="eastAsia" w:ascii="宋体" w:hAnsi="宋体" w:cs="宋体"/>
                <w:b/>
                <w:kern w:val="0"/>
                <w:sz w:val="28"/>
                <w:szCs w:val="28"/>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高清投影机</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ascii="宋体" w:cs="宋体"/>
                <w:kern w:val="0"/>
                <w:sz w:val="20"/>
                <w:szCs w:val="20"/>
              </w:rPr>
            </w:pPr>
            <w:r>
              <w:rPr>
                <w:rFonts w:hint="eastAsia" w:ascii="宋体" w:cs="宋体"/>
                <w:kern w:val="0"/>
                <w:sz w:val="20"/>
                <w:szCs w:val="20"/>
              </w:rPr>
              <w:t>亮度≥4200流明的高清投影机，使用标准光学镜头、具有防尘设计的商教型投影机； 3LCD，标准分辨率≥1920*1200，投影横纵比为16：10，对比度≥15000：1，灯泡使用寿命≥5500小时（标准亮度模式）。输入接口HDMI≥2个（其中1个接口须支持MHL），USB接口≥2个。</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kern w:val="0"/>
                <w:sz w:val="20"/>
                <w:szCs w:val="20"/>
              </w:rPr>
            </w:pPr>
            <w:r>
              <w:rPr>
                <w:rFonts w:hint="eastAsia"/>
                <w:kern w:val="0"/>
                <w:sz w:val="20"/>
                <w:szCs w:val="20"/>
              </w:rPr>
              <w:t>18</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kern w:val="0"/>
                <w:sz w:val="20"/>
                <w:szCs w:val="20"/>
              </w:rPr>
            </w:pPr>
            <w:r>
              <w:rPr>
                <w:rFonts w:hint="eastAsia" w:ascii="宋体" w:cs="宋体"/>
                <w:kern w:val="0"/>
                <w:sz w:val="20"/>
                <w:szCs w:val="20"/>
              </w:rPr>
              <w:t>台</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cs="宋体"/>
                <w:kern w:val="0"/>
                <w:sz w:val="20"/>
                <w:szCs w:val="20"/>
              </w:rPr>
            </w:pPr>
            <w:r>
              <w:rPr>
                <w:rFonts w:hint="eastAsia" w:ascii="宋体" w:hAnsi="宋体" w:cs="宋体"/>
                <w:kern w:val="0"/>
                <w:sz w:val="20"/>
                <w:szCs w:val="20"/>
              </w:rPr>
              <w:t>EPSON、NEC、理光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电动投影幕布</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cs="宋体"/>
                <w:kern w:val="0"/>
                <w:sz w:val="20"/>
                <w:szCs w:val="20"/>
              </w:rPr>
            </w:pPr>
            <w:r>
              <w:rPr>
                <w:rFonts w:hint="eastAsia" w:ascii="宋体" w:hAnsi="宋体" w:cs="宋体"/>
                <w:kern w:val="0"/>
                <w:sz w:val="20"/>
                <w:szCs w:val="20"/>
              </w:rPr>
              <w:t>120"电动，16:10幕布。</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kern w:val="0"/>
                <w:sz w:val="20"/>
                <w:szCs w:val="20"/>
              </w:rPr>
            </w:pPr>
            <w:r>
              <w:rPr>
                <w:rFonts w:hint="eastAsia"/>
                <w:kern w:val="0"/>
                <w:sz w:val="20"/>
                <w:szCs w:val="20"/>
              </w:rPr>
              <w:t>18</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kern w:val="0"/>
                <w:sz w:val="20"/>
                <w:szCs w:val="20"/>
              </w:rPr>
            </w:pPr>
            <w:r>
              <w:rPr>
                <w:rFonts w:hint="eastAsia" w:ascii="宋体" w:cs="宋体"/>
                <w:kern w:val="0"/>
                <w:sz w:val="20"/>
                <w:szCs w:val="20"/>
              </w:rPr>
              <w:t>付</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ascii="宋体" w:cs="宋体"/>
                <w:kern w:val="0"/>
                <w:sz w:val="20"/>
                <w:szCs w:val="20"/>
              </w:rPr>
            </w:pPr>
            <w:r>
              <w:rPr>
                <w:rFonts w:hint="eastAsia" w:ascii="宋体" w:hAnsi="宋体" w:cs="宋体"/>
                <w:kern w:val="0"/>
                <w:sz w:val="20"/>
                <w:szCs w:val="20"/>
              </w:rPr>
              <w:t>多媒体集中控制系统模块及配套线材</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宋体" w:cs="宋体"/>
                <w:color w:val="000000"/>
                <w:kern w:val="0"/>
                <w:sz w:val="20"/>
                <w:szCs w:val="20"/>
              </w:rPr>
            </w:pP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kern w:val="0"/>
                <w:sz w:val="20"/>
                <w:szCs w:val="20"/>
              </w:rPr>
            </w:pPr>
            <w:r>
              <w:rPr>
                <w:rFonts w:hint="eastAsia"/>
                <w:kern w:val="0"/>
                <w:sz w:val="20"/>
                <w:szCs w:val="20"/>
              </w:rPr>
              <w:t>18</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kern w:val="0"/>
                <w:sz w:val="20"/>
                <w:szCs w:val="20"/>
              </w:rPr>
            </w:pPr>
            <w:r>
              <w:rPr>
                <w:rFonts w:hint="eastAsia"/>
                <w:kern w:val="0"/>
                <w:sz w:val="20"/>
                <w:szCs w:val="20"/>
              </w:rPr>
              <w:t>套</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kern w:val="0"/>
                <w:sz w:val="20"/>
                <w:szCs w:val="20"/>
              </w:rPr>
            </w:pPr>
          </w:p>
        </w:tc>
      </w:tr>
    </w:tbl>
    <w:p>
      <w:pPr>
        <w:rPr>
          <w:sz w:val="24"/>
        </w:rPr>
      </w:pPr>
    </w:p>
    <w:p>
      <w:pPr>
        <w:pStyle w:val="29"/>
        <w:spacing w:line="360" w:lineRule="auto"/>
        <w:ind w:firstLine="0" w:firstLineChars="0"/>
        <w:rPr>
          <w:b/>
          <w:sz w:val="24"/>
          <w:szCs w:val="24"/>
        </w:rPr>
      </w:pPr>
      <w:r>
        <w:rPr>
          <w:rFonts w:hint="eastAsia"/>
          <w:b/>
          <w:sz w:val="28"/>
          <w:szCs w:val="28"/>
        </w:rPr>
        <w:t>特别说明：</w:t>
      </w:r>
      <w:r>
        <w:rPr>
          <w:rFonts w:hint="eastAsia" w:ascii="宋体" w:hAnsi="宋体"/>
          <w:b/>
          <w:kern w:val="0"/>
          <w:sz w:val="28"/>
          <w:szCs w:val="28"/>
        </w:rPr>
        <w:t>本项目为交钥匙工程，项目含老设备的拆除、搬运费及新设备的安装费用（含改造、安装施工、线材、辅材等）</w:t>
      </w:r>
      <w:r>
        <w:rPr>
          <w:rFonts w:hint="eastAsia" w:ascii="宋体" w:hAnsi="宋体"/>
          <w:b/>
          <w:color w:val="000000"/>
          <w:kern w:val="0"/>
          <w:sz w:val="28"/>
          <w:szCs w:val="28"/>
        </w:rPr>
        <w:t>。</w:t>
      </w:r>
    </w:p>
    <w:p>
      <w:pPr>
        <w:spacing w:line="520" w:lineRule="exact"/>
        <w:ind w:firstLine="551" w:firstLineChars="196"/>
        <w:rPr>
          <w:rFonts w:ascii="宋体" w:hAnsi="宋体"/>
          <w:b/>
          <w:sz w:val="28"/>
          <w:szCs w:val="28"/>
        </w:rPr>
      </w:pPr>
      <w:r>
        <w:rPr>
          <w:rFonts w:hint="eastAsia" w:ascii="宋体" w:hAnsi="宋体"/>
          <w:b/>
          <w:sz w:val="28"/>
          <w:szCs w:val="28"/>
        </w:rPr>
        <w:t>四、商务条款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3.1、本项目所采购设备，中标方必须承诺免费运送至南邮通达学院扬州校区(扬州市邗江区润扬南路33号)指定地点并按要求安装到位。</w:t>
      </w:r>
    </w:p>
    <w:p>
      <w:pPr>
        <w:spacing w:line="360" w:lineRule="auto"/>
        <w:ind w:firstLine="480" w:firstLineChars="200"/>
        <w:rPr>
          <w:sz w:val="24"/>
        </w:rPr>
      </w:pPr>
      <w:r>
        <w:rPr>
          <w:rFonts w:hint="eastAsia" w:ascii="宋体" w:hAnsi="宋体" w:cs="宋体"/>
          <w:sz w:val="24"/>
          <w:szCs w:val="24"/>
        </w:rPr>
        <w:t>3.2、质保期及售后服务要求:</w:t>
      </w:r>
      <w:r>
        <w:rPr>
          <w:rFonts w:hint="eastAsia"/>
          <w:sz w:val="24"/>
        </w:rPr>
        <w:t xml:space="preserve"> 设备保修三年。要求中标方承诺</w:t>
      </w:r>
      <w:r>
        <w:rPr>
          <w:rFonts w:hint="eastAsia"/>
          <w:sz w:val="24"/>
          <w:lang w:val="en-US" w:eastAsia="zh-CN"/>
        </w:rPr>
        <w:t>至少</w:t>
      </w:r>
      <w:r>
        <w:rPr>
          <w:rFonts w:hint="eastAsia"/>
          <w:sz w:val="24"/>
        </w:rPr>
        <w:t>提供</w:t>
      </w:r>
      <w:r>
        <w:rPr>
          <w:rFonts w:hint="eastAsia"/>
          <w:sz w:val="24"/>
          <w:lang w:val="en-US" w:eastAsia="zh-CN"/>
        </w:rPr>
        <w:t>3</w:t>
      </w:r>
      <w:r>
        <w:rPr>
          <w:rFonts w:hint="eastAsia"/>
          <w:sz w:val="24"/>
        </w:rPr>
        <w:t>次</w:t>
      </w:r>
      <w:r>
        <w:rPr>
          <w:rFonts w:hint="eastAsia"/>
          <w:sz w:val="24"/>
          <w:lang w:val="en-US" w:eastAsia="zh-CN"/>
        </w:rPr>
        <w:t>以上</w:t>
      </w:r>
      <w:r>
        <w:rPr>
          <w:rFonts w:hint="eastAsia"/>
          <w:sz w:val="24"/>
        </w:rPr>
        <w:t>投影机免费清洗维护服务（免费</w:t>
      </w:r>
      <w:r>
        <w:rPr>
          <w:rFonts w:hint="eastAsia"/>
          <w:sz w:val="24"/>
          <w:lang w:val="en-US" w:eastAsia="zh-CN"/>
        </w:rPr>
        <w:t>清洗维护服务时间按照采购人要求</w:t>
      </w:r>
      <w:r>
        <w:rPr>
          <w:rFonts w:hint="eastAsia"/>
          <w:sz w:val="24"/>
        </w:rPr>
        <w:t>）。处理故障响应时间小于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rPr>
        <w:t>3.3、供货时限：中标方应于签订合同之日起</w:t>
      </w:r>
      <w:r>
        <w:rPr>
          <w:rFonts w:ascii="宋体" w:hAnsi="宋体" w:cs="宋体"/>
          <w:sz w:val="24"/>
          <w:szCs w:val="24"/>
        </w:rPr>
        <w:t>20</w:t>
      </w:r>
      <w:r>
        <w:rPr>
          <w:rFonts w:hint="eastAsia" w:ascii="宋体" w:hAnsi="宋体" w:cs="宋体"/>
          <w:sz w:val="24"/>
          <w:szCs w:val="24"/>
        </w:rPr>
        <w:t>日内</w:t>
      </w:r>
      <w:bookmarkStart w:id="50" w:name="_GoBack"/>
      <w:bookmarkEnd w:id="50"/>
      <w:r>
        <w:rPr>
          <w:rFonts w:hint="eastAsia" w:ascii="宋体" w:hAnsi="宋体" w:cs="宋体"/>
          <w:sz w:val="24"/>
          <w:szCs w:val="24"/>
        </w:rPr>
        <w:t>完成施工并通过验收，交付使用。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6"/>
        <w:spacing w:line="420" w:lineRule="exact"/>
        <w:jc w:val="center"/>
        <w:rPr>
          <w:b/>
          <w:sz w:val="44"/>
          <w:szCs w:val="44"/>
        </w:rPr>
      </w:pPr>
    </w:p>
    <w:p>
      <w:pPr>
        <w:pStyle w:val="6"/>
        <w:spacing w:line="420" w:lineRule="exact"/>
        <w:rPr>
          <w:b/>
          <w:sz w:val="44"/>
          <w:szCs w:val="44"/>
        </w:rPr>
      </w:pPr>
    </w:p>
    <w:p>
      <w:pPr>
        <w:pStyle w:val="6"/>
        <w:spacing w:line="420" w:lineRule="exact"/>
        <w:rPr>
          <w:b/>
          <w:sz w:val="44"/>
          <w:szCs w:val="44"/>
        </w:rPr>
        <w:sectPr>
          <w:footerReference r:id="rId10" w:type="default"/>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6"/>
        <w:adjustRightInd w:val="0"/>
        <w:snapToGrid w:val="0"/>
        <w:spacing w:line="440" w:lineRule="exact"/>
        <w:jc w:val="center"/>
        <w:rPr>
          <w:rFonts w:hAnsi="宋体" w:cs="宋体"/>
          <w:b/>
          <w:sz w:val="44"/>
          <w:szCs w:val="44"/>
        </w:rPr>
      </w:pPr>
    </w:p>
    <w:p>
      <w:pPr>
        <w:tabs>
          <w:tab w:val="left" w:pos="0"/>
          <w:tab w:val="left" w:pos="993"/>
          <w:tab w:val="left" w:pos="1134"/>
        </w:tabs>
        <w:adjustRightInd w:val="0"/>
        <w:snapToGrid w:val="0"/>
        <w:spacing w:line="360" w:lineRule="auto"/>
        <w:ind w:firstLine="480" w:firstLineChars="200"/>
        <w:rPr>
          <w:rFonts w:ascii="宋体" w:hAnsi="宋体"/>
          <w:bCs/>
          <w:snapToGrid w:val="0"/>
          <w:sz w:val="24"/>
        </w:rPr>
      </w:pPr>
      <w:r>
        <w:rPr>
          <w:rFonts w:hint="eastAsia" w:ascii="宋体" w:hAnsi="宋体"/>
          <w:bCs/>
          <w:snapToGrid w:val="0"/>
          <w:sz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shd w:val="clear" w:color="auto" w:fill="FFFFFF"/>
        <w:snapToGrid w:val="0"/>
        <w:spacing w:line="380" w:lineRule="exact"/>
        <w:ind w:firstLine="472" w:firstLineChars="196"/>
        <w:rPr>
          <w:rFonts w:ascii="宋体" w:hAnsi="宋体"/>
          <w:b/>
          <w:bCs/>
          <w:sz w:val="24"/>
          <w:szCs w:val="24"/>
        </w:rPr>
      </w:pPr>
      <w:r>
        <w:rPr>
          <w:rFonts w:hint="eastAsia" w:ascii="宋体" w:hAnsi="宋体"/>
          <w:b/>
          <w:bCs/>
          <w:sz w:val="24"/>
          <w:szCs w:val="24"/>
        </w:rPr>
        <w:t>2.技术参数响应情况(30分)：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24</w:t>
      </w:r>
      <w:r>
        <w:rPr>
          <w:rFonts w:ascii="宋体" w:hAnsi="宋体"/>
          <w:sz w:val="24"/>
          <w:szCs w:val="24"/>
        </w:rPr>
        <w:t>分，负偏离一项扣3分，正偏离一项加</w:t>
      </w:r>
      <w:r>
        <w:rPr>
          <w:rFonts w:hint="eastAsia" w:ascii="宋体" w:hAnsi="宋体"/>
          <w:sz w:val="24"/>
          <w:szCs w:val="24"/>
        </w:rPr>
        <w:t>2</w:t>
      </w:r>
      <w:r>
        <w:rPr>
          <w:rFonts w:ascii="宋体" w:hAnsi="宋体"/>
          <w:sz w:val="24"/>
          <w:szCs w:val="24"/>
        </w:rPr>
        <w:t>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30</w:t>
      </w:r>
      <w:r>
        <w:rPr>
          <w:rFonts w:ascii="宋体" w:hAnsi="宋体"/>
          <w:sz w:val="24"/>
          <w:szCs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3.售后服务和培训（20分）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(2)免费质保期满足招标文件需求，得3分；免费维保期每延长1年，加2分，最高加4分；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rPr>
        <w:t>维修响应时间3分。</w:t>
      </w:r>
      <w:r>
        <w:rPr>
          <w:rFonts w:ascii="宋体" w:hAnsi="宋体"/>
          <w:bCs/>
          <w:sz w:val="24"/>
        </w:rPr>
        <w:t>承诺</w:t>
      </w:r>
      <w:r>
        <w:rPr>
          <w:rFonts w:hint="eastAsia"/>
          <w:sz w:val="24"/>
        </w:rPr>
        <w:t>处理故障响应时间小于</w:t>
      </w:r>
      <w:r>
        <w:rPr>
          <w:sz w:val="24"/>
        </w:rPr>
        <w:t>24</w:t>
      </w:r>
      <w:r>
        <w:rPr>
          <w:rFonts w:hint="eastAsia"/>
          <w:sz w:val="24"/>
        </w:rPr>
        <w:t>小时</w:t>
      </w:r>
      <w:r>
        <w:rPr>
          <w:rFonts w:ascii="宋体" w:hAnsi="宋体"/>
          <w:bCs/>
          <w:sz w:val="24"/>
        </w:rPr>
        <w:t>得</w:t>
      </w:r>
      <w:r>
        <w:rPr>
          <w:rFonts w:hint="eastAsia" w:ascii="宋体" w:hAnsi="宋体"/>
          <w:bCs/>
          <w:sz w:val="24"/>
        </w:rPr>
        <w:t>2分，优于要求的得3分，未响应的不得分。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 xml:space="preserve">   （4）免费质保及维保期结束后，继续提供优惠维修及更换损坏配件的，维修及配件（原配件）费用报价优惠合理的得6分。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b/>
          <w:sz w:val="24"/>
        </w:rPr>
        <w:t xml:space="preserve">     4.投标人履行合同的能力及业绩（10分）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hd w:val="clear" w:color="auto" w:fill="FFFFFF"/>
        <w:snapToGrid w:val="0"/>
        <w:spacing w:line="380" w:lineRule="exact"/>
        <w:rPr>
          <w:rFonts w:ascii="宋体" w:hAnsi="宋体"/>
          <w:b/>
          <w:sz w:val="2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49090576"/>
      <w:bookmarkStart w:id="33" w:name="_Toc120614282"/>
      <w:bookmarkStart w:id="34"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5"/>
      <w:bookmarkStart w:id="37" w:name="_Hlt26671380"/>
      <w:bookmarkEnd w:id="37"/>
      <w:bookmarkStart w:id="38" w:name="_格式3__银行出具的资信证明"/>
      <w:bookmarkEnd w:id="38"/>
      <w:bookmarkStart w:id="39" w:name="_Hlt26955070"/>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1"/>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1"/>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22356580"/>
      <w:bookmarkStart w:id="43" w:name="_Toc460901585"/>
      <w:bookmarkStart w:id="44" w:name="_Toc26554095"/>
      <w:bookmarkStart w:id="45" w:name="_Toc23828478"/>
      <w:bookmarkStart w:id="46" w:name="_Toc513029276"/>
      <w:bookmarkStart w:id="47" w:name="_Toc49090577"/>
      <w:bookmarkStart w:id="48" w:name="_Toc120614283"/>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1"/>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p>
                <w:pPr>
                  <w:snapToGrid w:val="0"/>
                  <w:rPr>
                    <w:sz w:val="18"/>
                  </w:rPr>
                </w:pPr>
              </w:p>
              <w:p>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51C63DB"/>
    <w:rsid w:val="07CE59AE"/>
    <w:rsid w:val="08C44714"/>
    <w:rsid w:val="106D5377"/>
    <w:rsid w:val="18D337FE"/>
    <w:rsid w:val="1AD06E38"/>
    <w:rsid w:val="1AD404FF"/>
    <w:rsid w:val="20F65E1C"/>
    <w:rsid w:val="22AA75BF"/>
    <w:rsid w:val="33C95F8D"/>
    <w:rsid w:val="33F14299"/>
    <w:rsid w:val="35C43E65"/>
    <w:rsid w:val="41734B12"/>
    <w:rsid w:val="4AB7578D"/>
    <w:rsid w:val="50CC5CDD"/>
    <w:rsid w:val="5874653E"/>
    <w:rsid w:val="5A036AB3"/>
    <w:rsid w:val="5BB02314"/>
    <w:rsid w:val="63F26487"/>
    <w:rsid w:val="685F3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99"/>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uiPriority w:val="0"/>
    <w:rPr>
      <w:rFonts w:ascii="Arial" w:hAnsi="Arial" w:eastAsia="幼圆" w:cs="Arial"/>
      <w:b/>
      <w:bCs/>
      <w:sz w:val="44"/>
      <w:szCs w:val="44"/>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99"/>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link w:val="33"/>
    <w:qFormat/>
    <w:uiPriority w:val="34"/>
    <w:pPr>
      <w:ind w:firstLine="420" w:firstLineChars="200"/>
    </w:pPr>
  </w:style>
  <w:style w:type="character" w:customStyle="1" w:styleId="30">
    <w:name w:val="批注框文本 Char"/>
    <w:basedOn w:val="13"/>
    <w:link w:val="7"/>
    <w:semiHidden/>
    <w:qFormat/>
    <w:uiPriority w:val="99"/>
    <w:rPr>
      <w:rFonts w:ascii="Times New Roman" w:hAnsi="Times New Roman" w:eastAsia="宋体" w:cs="Times New Roman"/>
      <w:kern w:val="2"/>
      <w:sz w:val="18"/>
      <w:szCs w:val="18"/>
    </w:rPr>
  </w:style>
  <w:style w:type="character" w:customStyle="1" w:styleId="31">
    <w:name w:val="批注文字 Char"/>
    <w:basedOn w:val="13"/>
    <w:link w:val="5"/>
    <w:qFormat/>
    <w:uiPriority w:val="0"/>
    <w:rPr>
      <w:rFonts w:ascii="Times New Roman" w:hAnsi="Times New Roman" w:eastAsia="宋体" w:cs="Times New Roman"/>
      <w:kern w:val="2"/>
      <w:sz w:val="21"/>
      <w:szCs w:val="21"/>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列出段落 Char"/>
    <w:link w:val="29"/>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2124</Words>
  <Characters>12109</Characters>
  <Lines>100</Lines>
  <Paragraphs>28</Paragraphs>
  <TotalTime>0</TotalTime>
  <ScaleCrop>false</ScaleCrop>
  <LinksUpToDate>false</LinksUpToDate>
  <CharactersWithSpaces>14205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cp:lastPrinted>2018-04-19T08:54:00Z</cp:lastPrinted>
  <dcterms:modified xsi:type="dcterms:W3CDTF">2020-07-02T04:47:49Z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